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02CB6">
      <w:pPr>
        <w:spacing w:line="600" w:lineRule="exact"/>
        <w:ind w:right="17" w:firstLine="643" w:firstLineChars="200"/>
        <w:rPr>
          <w:rFonts w:hint="eastAsia" w:ascii="宋体" w:hAnsi="宋体" w:eastAsia="宋体" w:cs="宋体"/>
          <w:b/>
          <w:sz w:val="32"/>
          <w:szCs w:val="32"/>
          <w:lang w:eastAsia="zh-CN"/>
        </w:rPr>
      </w:pPr>
      <w:r>
        <w:rPr>
          <w:rFonts w:hint="eastAsia" w:ascii="宋体" w:hAnsi="宋体" w:cs="宋体"/>
          <w:b/>
          <w:sz w:val="32"/>
          <w:szCs w:val="32"/>
        </w:rPr>
        <w:t>一、工作</w:t>
      </w:r>
      <w:r>
        <w:rPr>
          <w:rFonts w:hint="eastAsia" w:ascii="宋体" w:hAnsi="宋体" w:cs="宋体"/>
          <w:b/>
          <w:sz w:val="32"/>
          <w:szCs w:val="32"/>
          <w:lang w:eastAsia="zh-CN"/>
        </w:rPr>
        <w:t>简况</w:t>
      </w:r>
    </w:p>
    <w:p w14:paraId="5B6B9586">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（一）任务来源</w:t>
      </w:r>
    </w:p>
    <w:p w14:paraId="0A53D894">
      <w:pPr>
        <w:spacing w:before="156" w:beforeLines="50" w:line="360" w:lineRule="auto"/>
        <w:ind w:firstLine="560" w:firstLineChars="200"/>
        <w:rPr>
          <w:rFonts w:hint="eastAsia" w:ascii="楷体_GB2312" w:hAnsi="宋体" w:eastAsia="楷体_GB2312"/>
          <w:b/>
          <w:sz w:val="32"/>
          <w:szCs w:val="32"/>
        </w:rPr>
      </w:pPr>
      <w:r>
        <w:rPr>
          <w:rFonts w:hint="eastAsia" w:ascii="仿宋" w:hAnsi="仿宋" w:eastAsia="仿宋" w:cs="仿宋_GB2312"/>
          <w:sz w:val="28"/>
          <w:szCs w:val="28"/>
        </w:rPr>
        <w:t>根据山西省市场监督管理局《2023年省级地方标准立项指南》的文件要求，</w:t>
      </w:r>
      <w:r>
        <w:rPr>
          <w:rFonts w:ascii="仿宋" w:hAnsi="仿宋" w:eastAsia="仿宋" w:cs="仿宋_GB2312"/>
          <w:sz w:val="28"/>
          <w:szCs w:val="28"/>
        </w:rPr>
        <w:t>202</w:t>
      </w:r>
      <w:r>
        <w:rPr>
          <w:rFonts w:hint="eastAsia" w:ascii="仿宋" w:hAnsi="仿宋" w:eastAsia="仿宋" w:cs="仿宋_GB2312"/>
          <w:sz w:val="28"/>
          <w:szCs w:val="28"/>
          <w:lang w:val="en-US" w:eastAsia="zh-CN"/>
        </w:rPr>
        <w:t>3</w:t>
      </w:r>
      <w:r>
        <w:rPr>
          <w:rFonts w:hint="eastAsia" w:ascii="仿宋" w:hAnsi="仿宋" w:eastAsia="仿宋" w:cs="仿宋_GB2312"/>
          <w:sz w:val="28"/>
          <w:szCs w:val="28"/>
        </w:rPr>
        <w:t>年</w:t>
      </w:r>
      <w:r>
        <w:rPr>
          <w:rFonts w:ascii="仿宋" w:hAnsi="仿宋" w:eastAsia="仿宋" w:cs="仿宋_GB2312"/>
          <w:sz w:val="28"/>
          <w:szCs w:val="28"/>
        </w:rPr>
        <w:t>2</w:t>
      </w:r>
      <w:r>
        <w:rPr>
          <w:rFonts w:hint="eastAsia" w:ascii="仿宋" w:hAnsi="仿宋" w:eastAsia="仿宋" w:cs="仿宋_GB2312"/>
          <w:sz w:val="28"/>
          <w:szCs w:val="28"/>
        </w:rPr>
        <w:t>月，山西省农业大学提出，申请起草山西省地方标准《休闲期玉米秸秆原位堆腐还田技术规程》。</w:t>
      </w:r>
    </w:p>
    <w:p w14:paraId="122DCF68">
      <w:p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（二）起草单位和主要起草人</w:t>
      </w:r>
    </w:p>
    <w:p w14:paraId="4F9CC970">
      <w:pPr>
        <w:spacing w:line="600" w:lineRule="exact"/>
        <w:ind w:right="17" w:firstLine="1446" w:firstLineChars="450"/>
        <w:jc w:val="center"/>
        <w:rPr>
          <w:rFonts w:hint="eastAsia" w:ascii="楷体_GB2312" w:hAnsi="宋体" w:eastAsia="楷体_GB2312"/>
          <w:b/>
          <w:sz w:val="32"/>
          <w:szCs w:val="32"/>
          <w:lang w:eastAsia="zh-CN"/>
        </w:rPr>
      </w:pPr>
      <w:r>
        <w:rPr>
          <w:rFonts w:hint="eastAsia" w:ascii="楷体_GB2312" w:hAnsi="宋体" w:eastAsia="楷体_GB2312"/>
          <w:b/>
          <w:sz w:val="32"/>
          <w:szCs w:val="32"/>
          <w:lang w:eastAsia="zh-CN"/>
        </w:rPr>
        <w:t>主要起草人信息表</w:t>
      </w:r>
    </w:p>
    <w:tbl>
      <w:tblPr>
        <w:tblStyle w:val="7"/>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1425"/>
        <w:gridCol w:w="1900"/>
        <w:gridCol w:w="1939"/>
        <w:gridCol w:w="2329"/>
      </w:tblGrid>
      <w:tr w14:paraId="2D8D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5B9BF7BB">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姓名</w:t>
            </w:r>
          </w:p>
        </w:tc>
        <w:tc>
          <w:tcPr>
            <w:tcW w:w="1425" w:type="dxa"/>
          </w:tcPr>
          <w:p w14:paraId="45E8D10D">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性别</w:t>
            </w:r>
          </w:p>
        </w:tc>
        <w:tc>
          <w:tcPr>
            <w:tcW w:w="1900" w:type="dxa"/>
          </w:tcPr>
          <w:p w14:paraId="7AC6BF7B">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职务</w:t>
            </w:r>
            <w:r>
              <w:rPr>
                <w:rFonts w:hint="eastAsia" w:ascii="楷体_GB2312" w:hAnsi="宋体" w:eastAsia="楷体_GB2312"/>
                <w:b/>
                <w:sz w:val="32"/>
                <w:szCs w:val="32"/>
                <w:vertAlign w:val="baseline"/>
                <w:lang w:val="en-US" w:eastAsia="zh-CN"/>
              </w:rPr>
              <w:t>/</w:t>
            </w:r>
            <w:r>
              <w:rPr>
                <w:rFonts w:hint="eastAsia" w:ascii="楷体_GB2312" w:hAnsi="宋体" w:eastAsia="楷体_GB2312"/>
                <w:b/>
                <w:sz w:val="32"/>
                <w:szCs w:val="32"/>
                <w:vertAlign w:val="baseline"/>
                <w:lang w:eastAsia="zh-CN"/>
              </w:rPr>
              <w:t>职称</w:t>
            </w:r>
          </w:p>
        </w:tc>
        <w:tc>
          <w:tcPr>
            <w:tcW w:w="1939" w:type="dxa"/>
          </w:tcPr>
          <w:p w14:paraId="4F12F34E">
            <w:pPr>
              <w:spacing w:line="600" w:lineRule="exact"/>
              <w:ind w:right="17"/>
              <w:jc w:val="center"/>
              <w:rPr>
                <w:rFonts w:hint="default" w:ascii="楷体_GB2312" w:hAnsi="宋体" w:eastAsia="楷体_GB2312"/>
                <w:b/>
                <w:sz w:val="32"/>
                <w:szCs w:val="32"/>
                <w:vertAlign w:val="baseline"/>
                <w:lang w:val="en-US" w:eastAsia="zh-CN"/>
              </w:rPr>
            </w:pPr>
            <w:r>
              <w:rPr>
                <w:rFonts w:hint="eastAsia" w:ascii="楷体_GB2312" w:hAnsi="宋体" w:eastAsia="楷体_GB2312"/>
                <w:b/>
                <w:sz w:val="32"/>
                <w:szCs w:val="32"/>
                <w:vertAlign w:val="baseline"/>
                <w:lang w:val="en-US" w:eastAsia="zh-CN"/>
              </w:rPr>
              <w:t>工作单位</w:t>
            </w:r>
          </w:p>
        </w:tc>
        <w:tc>
          <w:tcPr>
            <w:tcW w:w="2329" w:type="dxa"/>
          </w:tcPr>
          <w:p w14:paraId="2683128B">
            <w:pPr>
              <w:spacing w:line="600" w:lineRule="exact"/>
              <w:ind w:right="17"/>
              <w:jc w:val="center"/>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任务分工</w:t>
            </w:r>
          </w:p>
        </w:tc>
      </w:tr>
      <w:tr w14:paraId="7AEA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6B51282A">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李建华</w:t>
            </w:r>
          </w:p>
        </w:tc>
        <w:tc>
          <w:tcPr>
            <w:tcW w:w="1425" w:type="dxa"/>
          </w:tcPr>
          <w:p w14:paraId="628EDF1A">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女</w:t>
            </w:r>
          </w:p>
        </w:tc>
        <w:tc>
          <w:tcPr>
            <w:tcW w:w="1900" w:type="dxa"/>
          </w:tcPr>
          <w:p w14:paraId="2A6A221E">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副研究员</w:t>
            </w:r>
          </w:p>
        </w:tc>
        <w:tc>
          <w:tcPr>
            <w:tcW w:w="1939" w:type="dxa"/>
          </w:tcPr>
          <w:p w14:paraId="29B78A44">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5B0A6370">
            <w:pPr>
              <w:spacing w:line="600" w:lineRule="exact"/>
              <w:ind w:right="17"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负责人主编人</w:t>
            </w:r>
          </w:p>
        </w:tc>
      </w:tr>
      <w:tr w14:paraId="6FC3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12BFB2EF">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卢晋晶</w:t>
            </w:r>
          </w:p>
        </w:tc>
        <w:tc>
          <w:tcPr>
            <w:tcW w:w="1425" w:type="dxa"/>
          </w:tcPr>
          <w:p w14:paraId="29888C9F">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女</w:t>
            </w:r>
          </w:p>
        </w:tc>
        <w:tc>
          <w:tcPr>
            <w:tcW w:w="1900" w:type="dxa"/>
          </w:tcPr>
          <w:p w14:paraId="5B7891FC">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副研究员</w:t>
            </w:r>
          </w:p>
        </w:tc>
        <w:tc>
          <w:tcPr>
            <w:tcW w:w="1939" w:type="dxa"/>
          </w:tcPr>
          <w:p w14:paraId="43CA28F5">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29E794E4">
            <w:pPr>
              <w:spacing w:line="600" w:lineRule="exact"/>
              <w:ind w:right="17" w:rightChars="0" w:firstLine="240" w:firstLineChars="100"/>
              <w:rPr>
                <w:rFonts w:hint="eastAsia" w:ascii="仿宋" w:hAnsi="仿宋" w:eastAsia="仿宋" w:cs="仿宋"/>
                <w:kern w:val="2"/>
                <w:sz w:val="24"/>
                <w:szCs w:val="24"/>
                <w:lang w:val="en-US" w:eastAsia="zh-CN" w:bidi="ar-SA"/>
              </w:rPr>
            </w:pPr>
            <w:r>
              <w:rPr>
                <w:rFonts w:hint="eastAsia" w:ascii="仿宋" w:hAnsi="仿宋" w:eastAsia="仿宋" w:cs="仿宋"/>
                <w:sz w:val="24"/>
                <w:szCs w:val="24"/>
              </w:rPr>
              <w:t>编写人</w:t>
            </w:r>
          </w:p>
        </w:tc>
      </w:tr>
      <w:tr w14:paraId="508A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3E155DEE">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郜春花</w:t>
            </w:r>
          </w:p>
        </w:tc>
        <w:tc>
          <w:tcPr>
            <w:tcW w:w="1425" w:type="dxa"/>
          </w:tcPr>
          <w:p w14:paraId="6670CBA0">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女</w:t>
            </w:r>
          </w:p>
        </w:tc>
        <w:tc>
          <w:tcPr>
            <w:tcW w:w="1900" w:type="dxa"/>
          </w:tcPr>
          <w:p w14:paraId="50E4D921">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研究员</w:t>
            </w:r>
          </w:p>
        </w:tc>
        <w:tc>
          <w:tcPr>
            <w:tcW w:w="1939" w:type="dxa"/>
          </w:tcPr>
          <w:p w14:paraId="6A56F1A7">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30B8EBA2">
            <w:pPr>
              <w:spacing w:line="600" w:lineRule="exact"/>
              <w:ind w:right="17" w:rightChars="0" w:firstLine="240" w:firstLineChars="100"/>
              <w:rPr>
                <w:rFonts w:hint="eastAsia" w:ascii="仿宋" w:hAnsi="仿宋" w:eastAsia="仿宋" w:cs="仿宋"/>
                <w:kern w:val="2"/>
                <w:sz w:val="24"/>
                <w:szCs w:val="24"/>
                <w:lang w:val="en-US" w:eastAsia="zh-CN" w:bidi="ar-SA"/>
              </w:rPr>
            </w:pPr>
            <w:r>
              <w:rPr>
                <w:rFonts w:hint="eastAsia" w:ascii="仿宋" w:hAnsi="仿宋" w:eastAsia="仿宋" w:cs="仿宋"/>
                <w:sz w:val="24"/>
                <w:szCs w:val="24"/>
              </w:rPr>
              <w:t>编写人</w:t>
            </w:r>
          </w:p>
        </w:tc>
      </w:tr>
      <w:tr w14:paraId="1E84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331B3EAA">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靳东升</w:t>
            </w:r>
          </w:p>
        </w:tc>
        <w:tc>
          <w:tcPr>
            <w:tcW w:w="1425" w:type="dxa"/>
          </w:tcPr>
          <w:p w14:paraId="05D89E06">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男</w:t>
            </w:r>
          </w:p>
        </w:tc>
        <w:tc>
          <w:tcPr>
            <w:tcW w:w="1900" w:type="dxa"/>
          </w:tcPr>
          <w:p w14:paraId="01F9207B">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副研究员</w:t>
            </w:r>
          </w:p>
        </w:tc>
        <w:tc>
          <w:tcPr>
            <w:tcW w:w="1939" w:type="dxa"/>
          </w:tcPr>
          <w:p w14:paraId="4DDEC5B8">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7878CF11">
            <w:pPr>
              <w:spacing w:line="600" w:lineRule="exact"/>
              <w:ind w:right="17"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参与部分工作</w:t>
            </w:r>
          </w:p>
        </w:tc>
      </w:tr>
      <w:tr w14:paraId="0FA75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4789FE94">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李廷亮</w:t>
            </w:r>
          </w:p>
        </w:tc>
        <w:tc>
          <w:tcPr>
            <w:tcW w:w="1425" w:type="dxa"/>
          </w:tcPr>
          <w:p w14:paraId="65382F82">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男</w:t>
            </w:r>
          </w:p>
        </w:tc>
        <w:tc>
          <w:tcPr>
            <w:tcW w:w="1900" w:type="dxa"/>
          </w:tcPr>
          <w:p w14:paraId="3E5525DF">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教授</w:t>
            </w:r>
          </w:p>
        </w:tc>
        <w:tc>
          <w:tcPr>
            <w:tcW w:w="1939" w:type="dxa"/>
          </w:tcPr>
          <w:p w14:paraId="539573BD">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65F0E0AB">
            <w:pPr>
              <w:spacing w:line="600" w:lineRule="exact"/>
              <w:ind w:right="17"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参与部分工作</w:t>
            </w:r>
          </w:p>
        </w:tc>
      </w:tr>
      <w:tr w14:paraId="22B3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2D3635EB">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陈潇晶</w:t>
            </w:r>
          </w:p>
        </w:tc>
        <w:tc>
          <w:tcPr>
            <w:tcW w:w="1425" w:type="dxa"/>
          </w:tcPr>
          <w:p w14:paraId="7CC60FAA">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女</w:t>
            </w:r>
          </w:p>
        </w:tc>
        <w:tc>
          <w:tcPr>
            <w:tcW w:w="1900" w:type="dxa"/>
          </w:tcPr>
          <w:p w14:paraId="6E505B90">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助理研究员</w:t>
            </w:r>
          </w:p>
        </w:tc>
        <w:tc>
          <w:tcPr>
            <w:tcW w:w="1939" w:type="dxa"/>
          </w:tcPr>
          <w:p w14:paraId="736665EC">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3EDBB6E4">
            <w:pPr>
              <w:spacing w:line="600" w:lineRule="exact"/>
              <w:ind w:right="17"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参与部分工作</w:t>
            </w:r>
          </w:p>
        </w:tc>
      </w:tr>
      <w:tr w14:paraId="5434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5F72B080">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徐明岗</w:t>
            </w:r>
          </w:p>
        </w:tc>
        <w:tc>
          <w:tcPr>
            <w:tcW w:w="1425" w:type="dxa"/>
          </w:tcPr>
          <w:p w14:paraId="7D35C3AA">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男</w:t>
            </w:r>
          </w:p>
        </w:tc>
        <w:tc>
          <w:tcPr>
            <w:tcW w:w="1900" w:type="dxa"/>
          </w:tcPr>
          <w:p w14:paraId="0E578DF9">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研究员</w:t>
            </w:r>
          </w:p>
        </w:tc>
        <w:tc>
          <w:tcPr>
            <w:tcW w:w="1939" w:type="dxa"/>
          </w:tcPr>
          <w:p w14:paraId="6CD798D1">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5F06DDBF">
            <w:pPr>
              <w:spacing w:line="600" w:lineRule="exact"/>
              <w:ind w:right="17"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参与部分工作</w:t>
            </w:r>
          </w:p>
        </w:tc>
      </w:tr>
      <w:tr w14:paraId="220B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6214F7BA">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王恒飞</w:t>
            </w:r>
          </w:p>
        </w:tc>
        <w:tc>
          <w:tcPr>
            <w:tcW w:w="1425" w:type="dxa"/>
          </w:tcPr>
          <w:p w14:paraId="0A6660CC">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男</w:t>
            </w:r>
          </w:p>
        </w:tc>
        <w:tc>
          <w:tcPr>
            <w:tcW w:w="1900" w:type="dxa"/>
          </w:tcPr>
          <w:p w14:paraId="0ADE0017">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助理研究员</w:t>
            </w:r>
          </w:p>
        </w:tc>
        <w:tc>
          <w:tcPr>
            <w:tcW w:w="1939" w:type="dxa"/>
          </w:tcPr>
          <w:p w14:paraId="2DED66FD">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7BB74C90">
            <w:pPr>
              <w:spacing w:line="600" w:lineRule="exact"/>
              <w:ind w:right="17"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参与部分工作</w:t>
            </w:r>
          </w:p>
        </w:tc>
      </w:tr>
      <w:tr w14:paraId="18E0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5" w:type="dxa"/>
          </w:tcPr>
          <w:p w14:paraId="2EE0AE25">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续彦凤</w:t>
            </w:r>
          </w:p>
        </w:tc>
        <w:tc>
          <w:tcPr>
            <w:tcW w:w="1425" w:type="dxa"/>
          </w:tcPr>
          <w:p w14:paraId="40E15AEF">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女</w:t>
            </w:r>
          </w:p>
        </w:tc>
        <w:tc>
          <w:tcPr>
            <w:tcW w:w="1900" w:type="dxa"/>
          </w:tcPr>
          <w:p w14:paraId="773FA07E">
            <w:pPr>
              <w:spacing w:line="600" w:lineRule="exact"/>
              <w:ind w:right="17"/>
              <w:jc w:val="center"/>
              <w:rPr>
                <w:rFonts w:hint="eastAsia" w:ascii="仿宋" w:hAnsi="仿宋" w:eastAsia="仿宋" w:cs="仿宋_GB2312"/>
                <w:sz w:val="24"/>
                <w:szCs w:val="24"/>
                <w:lang w:eastAsia="zh-CN"/>
              </w:rPr>
            </w:pPr>
          </w:p>
        </w:tc>
        <w:tc>
          <w:tcPr>
            <w:tcW w:w="1939" w:type="dxa"/>
          </w:tcPr>
          <w:p w14:paraId="2430340A">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shd w:val="clear" w:color="auto" w:fill="auto"/>
            <w:vAlign w:val="top"/>
          </w:tcPr>
          <w:p w14:paraId="4F6452D5">
            <w:pPr>
              <w:spacing w:line="600" w:lineRule="exact"/>
              <w:ind w:right="17"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参与部分工作</w:t>
            </w:r>
          </w:p>
        </w:tc>
      </w:tr>
      <w:tr w14:paraId="1953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425" w:type="dxa"/>
          </w:tcPr>
          <w:p w14:paraId="1D5B7FFE">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rPr>
              <w:t>乔琼洁</w:t>
            </w:r>
          </w:p>
        </w:tc>
        <w:tc>
          <w:tcPr>
            <w:tcW w:w="1425" w:type="dxa"/>
          </w:tcPr>
          <w:p w14:paraId="4D1C8D87">
            <w:pPr>
              <w:spacing w:line="600" w:lineRule="exact"/>
              <w:ind w:right="17"/>
              <w:jc w:val="center"/>
              <w:rPr>
                <w:rFonts w:hint="default" w:ascii="仿宋" w:hAnsi="仿宋" w:eastAsia="仿宋" w:cs="仿宋_GB2312"/>
                <w:sz w:val="24"/>
                <w:szCs w:val="24"/>
                <w:lang w:val="en-US" w:eastAsia="zh-CN"/>
              </w:rPr>
            </w:pPr>
            <w:r>
              <w:rPr>
                <w:rFonts w:hint="eastAsia" w:ascii="仿宋" w:hAnsi="仿宋" w:eastAsia="仿宋" w:cs="仿宋_GB2312"/>
                <w:sz w:val="24"/>
                <w:szCs w:val="24"/>
                <w:lang w:val="en-US" w:eastAsia="zh-CN"/>
              </w:rPr>
              <w:t>女</w:t>
            </w:r>
          </w:p>
        </w:tc>
        <w:tc>
          <w:tcPr>
            <w:tcW w:w="1900" w:type="dxa"/>
          </w:tcPr>
          <w:p w14:paraId="7FF8C33F">
            <w:pPr>
              <w:spacing w:line="600" w:lineRule="exact"/>
              <w:ind w:right="17"/>
              <w:jc w:val="center"/>
              <w:rPr>
                <w:rFonts w:hint="eastAsia" w:ascii="仿宋" w:hAnsi="仿宋" w:eastAsia="仿宋" w:cs="仿宋_GB2312"/>
                <w:sz w:val="24"/>
                <w:szCs w:val="24"/>
                <w:lang w:eastAsia="zh-CN"/>
              </w:rPr>
            </w:pPr>
          </w:p>
        </w:tc>
        <w:tc>
          <w:tcPr>
            <w:tcW w:w="1939" w:type="dxa"/>
          </w:tcPr>
          <w:p w14:paraId="596645F5">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_GB2312"/>
                <w:sz w:val="24"/>
                <w:szCs w:val="24"/>
                <w:lang w:val="en-US" w:eastAsia="zh-CN"/>
              </w:rPr>
              <w:t>山西农业大学</w:t>
            </w:r>
          </w:p>
        </w:tc>
        <w:tc>
          <w:tcPr>
            <w:tcW w:w="2329" w:type="dxa"/>
          </w:tcPr>
          <w:p w14:paraId="4C36A7FD">
            <w:pPr>
              <w:spacing w:line="600" w:lineRule="exact"/>
              <w:ind w:right="17"/>
              <w:jc w:val="center"/>
              <w:rPr>
                <w:rFonts w:hint="eastAsia" w:ascii="仿宋" w:hAnsi="仿宋" w:eastAsia="仿宋" w:cs="仿宋_GB2312"/>
                <w:sz w:val="24"/>
                <w:szCs w:val="24"/>
                <w:lang w:eastAsia="zh-CN"/>
              </w:rPr>
            </w:pPr>
            <w:r>
              <w:rPr>
                <w:rFonts w:hint="eastAsia" w:ascii="仿宋" w:hAnsi="仿宋" w:eastAsia="仿宋" w:cs="仿宋"/>
                <w:sz w:val="24"/>
                <w:szCs w:val="24"/>
              </w:rPr>
              <w:t>参与部分工作</w:t>
            </w:r>
          </w:p>
        </w:tc>
      </w:tr>
    </w:tbl>
    <w:p w14:paraId="6C28521F">
      <w:pPr>
        <w:numPr>
          <w:ilvl w:val="0"/>
          <w:numId w:val="3"/>
        </w:numPr>
        <w:spacing w:line="360" w:lineRule="auto"/>
        <w:ind w:firstLine="630" w:firstLineChars="196"/>
        <w:rPr>
          <w:rFonts w:hint="eastAsia" w:ascii="宋体" w:hAnsi="宋体"/>
          <w:b/>
          <w:sz w:val="32"/>
          <w:szCs w:val="32"/>
          <w:lang w:eastAsia="zh-CN"/>
        </w:rPr>
      </w:pPr>
      <w:r>
        <w:rPr>
          <w:rFonts w:hint="eastAsia" w:ascii="宋体" w:hAnsi="宋体"/>
          <w:b/>
          <w:sz w:val="32"/>
          <w:szCs w:val="32"/>
          <w:lang w:eastAsia="zh-CN"/>
        </w:rPr>
        <w:t>制定标准的必要性和意义</w:t>
      </w:r>
    </w:p>
    <w:p w14:paraId="09EE45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hint="eastAsia" w:ascii="仿宋" w:hAnsi="仿宋" w:eastAsia="仿宋" w:cs="仿宋_GB2312"/>
          <w:sz w:val="28"/>
          <w:szCs w:val="28"/>
        </w:rPr>
        <w:t>玉米是山西省的主要粮食作物，每年全省玉米秸秆产生量近0.2亿吨，随着农业经济的快速发展和农村生活条件的改善，大量的作物秸秆成了无处存放的农产品废弃物，秸秆利用率低，很多农民将秸秆堆积焚烧，造成资源浪费和环境污染。事实上，农作物秸秆富含氮、磷、钾及有机质，秸秆还田可以将土壤养分归还土壤，是一项培肥地力的有效措施，是我国沃土工程和丰收计划的重要内容，也是我省有机旱作农业增产增收的重要技术措施。秸秆还田能增加土壤有机质，改良土壤结构，使土壤疏松，孔隙度增加，容重减小，促进了土壤微生物活力和作物根系的发育，一般可增产5%～10%，但若秸秆还田方法不当，也会出现土壤地温低、病害增加、出苗差等不良现象。</w:t>
      </w:r>
    </w:p>
    <w:p w14:paraId="2ED59CA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仿宋_GB2312"/>
          <w:sz w:val="28"/>
          <w:szCs w:val="28"/>
        </w:rPr>
      </w:pPr>
      <w:r>
        <w:rPr>
          <w:rFonts w:hint="eastAsia" w:ascii="仿宋" w:hAnsi="仿宋" w:eastAsia="仿宋" w:cs="仿宋_GB2312"/>
          <w:sz w:val="28"/>
          <w:szCs w:val="28"/>
        </w:rPr>
        <w:t>在玉米收获后的休闲期，将秸秆在田间地头原位堆腐，通过添加高效的微生物腐熟剂使秸秆养分快速有效化，同时形成大量的腐殖质，春天翻耕入田，既可为作物生长提供所需养分，增加土壤有机质，提升土壤地力，又可以有效避免秸秆直接还田可能带来的地温低、出苗差等问题。因此，本标准立足有机旱作的大局，在大量科学研究、示范的基础上，提出“休闲期玉米秸秆原位堆腐还田技术规程”，在玉米收获后的休闲期，利用农业废弃物资源——玉米秸秆，通过添加高效秸秆腐熟剂，原位堆腐还田，可促进秸秆养分释放、避免秸秆直接还田的弊端、改善土壤结构、提升土壤肥力、促进农户增产增收。</w:t>
      </w:r>
    </w:p>
    <w:p w14:paraId="65D6708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_GB2312"/>
          <w:sz w:val="28"/>
          <w:szCs w:val="28"/>
        </w:rPr>
      </w:pPr>
      <w:bookmarkStart w:id="0" w:name="_Hlk137022150"/>
      <w:r>
        <w:rPr>
          <w:rFonts w:hint="eastAsia" w:ascii="仿宋" w:hAnsi="仿宋" w:eastAsia="仿宋" w:cs="仿宋_GB2312"/>
          <w:sz w:val="28"/>
          <w:szCs w:val="28"/>
        </w:rPr>
        <w:t>标准起草团队成员于2013-2015年，承担了山西省农业科学院的院级重点项目“生物有机肥在矿区复垦土壤修复中的研究与应用”，2012-2014年，承担了国家国际科技合作专项“微生物菌剂在矿区复垦与生态恢复中的应用”，2017年承担了山西正丰农牧有限公司的横向课题“农业废弃物肥料化利用关键技术研究”，2018-2021年，承担了国家基金委的重点联合基金课题“复垦土壤功能微生物演变特征及定向调控”，2022年承担了山西省国合项目“健康土壤评价与保育技术研究”等。通过项目实施，开展了一系列旱作区农业秸秆肥料化利用研究，经过多年的试验，形成一套成熟的秸秆原位腐熟还田技术模式，该模式可有效杀灭秸秆中病虫害，缩短秸秆腐熟时间，减少秸秆中有机质及氮素的损耗，加速养分释放。还田后有效改善了土壤结构、提升土壤肥力、提高作物产量10%-15%。这些项目的实施为本校准的制定提供了坚实的理论和技术支撑，保证了该项标准制定的科学性和规范性。</w:t>
      </w:r>
    </w:p>
    <w:bookmarkEnd w:id="0"/>
    <w:p w14:paraId="00DFBF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b/>
          <w:sz w:val="28"/>
          <w:szCs w:val="28"/>
          <w:lang w:eastAsia="zh-CN"/>
        </w:rPr>
      </w:pPr>
      <w:r>
        <w:rPr>
          <w:rFonts w:hint="eastAsia" w:ascii="仿宋" w:hAnsi="仿宋" w:eastAsia="仿宋" w:cs="仿宋_GB2312"/>
          <w:sz w:val="28"/>
          <w:szCs w:val="28"/>
        </w:rPr>
        <w:t>目前关于秸秆还田技术的国家标准较少，基本属于空白。农业部只颁布了关于秸秆还田机械的标准“NY/T 500-2002《秸秆还田机作业质量》、NY/T 1004-2006 《秸秆还田机质量评价技术规范》”，尚无秸秆还田技术的相关标准。近几年一些省份颁布了一些秸秆还田的地方标准，如河北省的地方标准“DB13/T 1045-2009《机械化秸秆粉碎还田技术规程》”、内蒙古自治区的地方标准“DB15/T 2761-2022《玉米秸秆堆沤还田技术规程》”和黑龙江省的地方标准“DB23/T 1838-2017《秸秆有机肥料田间积造技术规范》”等，积极地促进了当地秸秆还田工作的推广与实施。目前我省颁布了一些关于旱地秸秆还田的地方标准，如“DB14/T 1592-2018旱地春玉米休闲期机械化秸秆粉碎留茬覆盖保墒技术规程、DB14/T 1593-2018玉米机械化秸秆还田轮耕技术规程、DB14/T 1167-2015垣坪旱地春播玉米秸秆冬春覆盖还田深施肥技术规程、DB14/T 923-2014沟坝旱地春播玉米秸秆粉碎还田秋施肥技术规程”，但都集中在秸秆直接还田（粉碎还田或整杆覆盖）技术方面，关于秸秆田间原位堆腐还田相关的技术标准基本属于空白，无法有效规范秸秆腐熟还田技术和指导农民应用。为更好的活化秸秆养分、避免秸秆还田带来的弊端，亟需对山西省玉米秸秆的原位腐熟还田技术进行规范化和标准化，提出“休闲期玉米秸秆原位堆腐还田技术规程”具有很强的</w:t>
      </w:r>
      <w:r>
        <w:rPr>
          <w:rFonts w:hint="eastAsia" w:ascii="仿宋" w:hAnsi="仿宋" w:eastAsia="仿宋" w:cs="仿宋_GB2312"/>
          <w:b/>
          <w:bCs/>
          <w:sz w:val="28"/>
          <w:szCs w:val="28"/>
        </w:rPr>
        <w:t>必要性</w:t>
      </w:r>
      <w:r>
        <w:rPr>
          <w:rFonts w:hint="eastAsia" w:ascii="仿宋" w:hAnsi="仿宋" w:eastAsia="仿宋" w:cs="仿宋_GB2312"/>
          <w:sz w:val="28"/>
          <w:szCs w:val="28"/>
        </w:rPr>
        <w:t>和</w:t>
      </w:r>
      <w:r>
        <w:rPr>
          <w:rFonts w:hint="eastAsia" w:ascii="仿宋" w:hAnsi="仿宋" w:eastAsia="仿宋" w:cs="仿宋_GB2312"/>
          <w:b/>
          <w:bCs/>
          <w:sz w:val="28"/>
          <w:szCs w:val="28"/>
        </w:rPr>
        <w:t>可行性</w:t>
      </w:r>
      <w:r>
        <w:rPr>
          <w:rFonts w:hint="eastAsia" w:ascii="仿宋" w:hAnsi="仿宋" w:eastAsia="仿宋" w:cs="仿宋_GB2312"/>
          <w:sz w:val="28"/>
          <w:szCs w:val="28"/>
        </w:rPr>
        <w:t>，本标准的制定将是我省秸秆还田技术标准的</w:t>
      </w:r>
      <w:r>
        <w:rPr>
          <w:rFonts w:hint="eastAsia" w:ascii="仿宋" w:hAnsi="仿宋" w:eastAsia="仿宋" w:cs="仿宋_GB2312"/>
          <w:b/>
          <w:bCs/>
          <w:sz w:val="28"/>
          <w:szCs w:val="28"/>
        </w:rPr>
        <w:t>有效补充</w:t>
      </w:r>
      <w:r>
        <w:rPr>
          <w:rFonts w:hint="eastAsia" w:ascii="仿宋" w:hAnsi="仿宋" w:eastAsia="仿宋" w:cs="仿宋_GB2312"/>
          <w:sz w:val="28"/>
          <w:szCs w:val="28"/>
        </w:rPr>
        <w:t>与</w:t>
      </w:r>
      <w:r>
        <w:rPr>
          <w:rFonts w:hint="eastAsia" w:ascii="仿宋" w:hAnsi="仿宋" w:eastAsia="仿宋" w:cs="仿宋_GB2312"/>
          <w:b/>
          <w:bCs/>
          <w:sz w:val="28"/>
          <w:szCs w:val="28"/>
        </w:rPr>
        <w:t>丰富</w:t>
      </w:r>
      <w:r>
        <w:rPr>
          <w:rFonts w:hint="eastAsia" w:ascii="仿宋" w:hAnsi="仿宋" w:eastAsia="仿宋" w:cs="仿宋_GB2312"/>
          <w:sz w:val="28"/>
          <w:szCs w:val="28"/>
        </w:rPr>
        <w:t>。</w:t>
      </w:r>
    </w:p>
    <w:p w14:paraId="2665E9A1">
      <w:pPr>
        <w:numPr>
          <w:ilvl w:val="0"/>
          <w:numId w:val="3"/>
        </w:numPr>
        <w:spacing w:line="360" w:lineRule="auto"/>
        <w:ind w:firstLine="630" w:firstLineChars="196"/>
        <w:rPr>
          <w:rFonts w:hint="eastAsia" w:ascii="宋体" w:hAnsi="宋体"/>
          <w:b/>
          <w:sz w:val="32"/>
          <w:szCs w:val="32"/>
          <w:lang w:eastAsia="zh-CN"/>
        </w:rPr>
      </w:pPr>
      <w:r>
        <w:rPr>
          <w:rFonts w:hint="eastAsia" w:ascii="宋体" w:hAnsi="宋体"/>
          <w:b/>
          <w:sz w:val="32"/>
          <w:szCs w:val="32"/>
          <w:lang w:eastAsia="zh-CN"/>
        </w:rPr>
        <w:t>主要起草工作过程</w:t>
      </w:r>
    </w:p>
    <w:p w14:paraId="33FFC070">
      <w:pPr>
        <w:adjustRightInd w:val="0"/>
        <w:snapToGrid w:val="0"/>
        <w:spacing w:before="156" w:beforeLines="50" w:line="360" w:lineRule="auto"/>
        <w:ind w:firstLine="560" w:firstLineChars="200"/>
        <w:rPr>
          <w:rFonts w:ascii="仿宋" w:hAnsi="仿宋" w:eastAsia="仿宋"/>
          <w:sz w:val="28"/>
          <w:szCs w:val="28"/>
        </w:rPr>
      </w:pPr>
      <w:r>
        <w:rPr>
          <w:rFonts w:hint="eastAsia" w:ascii="仿宋" w:hAnsi="仿宋" w:eastAsia="仿宋" w:cs="仿宋_GB2312"/>
          <w:sz w:val="28"/>
          <w:szCs w:val="28"/>
        </w:rPr>
        <w:t>在本标准的起草过程中，主要经历了以下</w:t>
      </w:r>
      <w:r>
        <w:rPr>
          <w:rFonts w:ascii="仿宋" w:hAnsi="仿宋" w:eastAsia="仿宋" w:cs="仿宋_GB2312"/>
          <w:sz w:val="28"/>
          <w:szCs w:val="28"/>
        </w:rPr>
        <w:t>5</w:t>
      </w:r>
      <w:r>
        <w:rPr>
          <w:rFonts w:hint="eastAsia" w:ascii="仿宋" w:hAnsi="仿宋" w:eastAsia="仿宋" w:cs="仿宋_GB2312"/>
          <w:sz w:val="28"/>
          <w:szCs w:val="28"/>
        </w:rPr>
        <w:t>个阶段：</w:t>
      </w:r>
    </w:p>
    <w:p w14:paraId="2880D329">
      <w:pPr>
        <w:adjustRightInd w:val="0"/>
        <w:snapToGrid w:val="0"/>
        <w:spacing w:before="156" w:beforeLines="50" w:line="360" w:lineRule="auto"/>
        <w:ind w:firstLine="560" w:firstLineChars="200"/>
        <w:rPr>
          <w:rFonts w:ascii="仿宋" w:hAnsi="仿宋" w:eastAsia="仿宋"/>
          <w:sz w:val="28"/>
          <w:szCs w:val="28"/>
        </w:rPr>
      </w:pPr>
      <w:r>
        <w:rPr>
          <w:rFonts w:hint="eastAsia" w:ascii="仿宋" w:hAnsi="仿宋" w:eastAsia="仿宋" w:cs="仿宋_GB2312"/>
          <w:sz w:val="28"/>
          <w:szCs w:val="28"/>
        </w:rPr>
        <w:t>第一阶段，学习相关材料。成立了标准起草工作组，学习了标准的相关知识。标准起草工作组的成员是多年从事微生物菌剂研发、肥力提升、农业废弃物资源化研究的科研骨干，具有很强的理论知识和实际工作经验。标准起草工作组认真学习了《标准化工作导则的第</w:t>
      </w:r>
      <w:r>
        <w:rPr>
          <w:rFonts w:ascii="仿宋" w:hAnsi="仿宋" w:eastAsia="仿宋" w:cs="仿宋_GB2312"/>
          <w:sz w:val="28"/>
          <w:szCs w:val="28"/>
        </w:rPr>
        <w:t>1</w:t>
      </w:r>
      <w:r>
        <w:rPr>
          <w:rFonts w:hint="eastAsia" w:ascii="仿宋" w:hAnsi="仿宋" w:eastAsia="仿宋" w:cs="仿宋_GB2312"/>
          <w:sz w:val="28"/>
          <w:szCs w:val="28"/>
        </w:rPr>
        <w:t>部分：标准的结构和编写》（</w:t>
      </w:r>
      <w:r>
        <w:rPr>
          <w:rFonts w:ascii="仿宋" w:hAnsi="仿宋" w:eastAsia="仿宋" w:cs="仿宋_GB2312"/>
          <w:sz w:val="28"/>
          <w:szCs w:val="28"/>
        </w:rPr>
        <w:t>GB/T 1.1-2020</w:t>
      </w:r>
      <w:r>
        <w:rPr>
          <w:rFonts w:hint="eastAsia" w:ascii="仿宋" w:hAnsi="仿宋" w:eastAsia="仿宋" w:cs="仿宋_GB2312"/>
          <w:sz w:val="28"/>
          <w:szCs w:val="28"/>
        </w:rPr>
        <w:t>）和</w:t>
      </w:r>
      <w:r>
        <w:rPr>
          <w:rFonts w:ascii="仿宋" w:hAnsi="仿宋" w:eastAsia="仿宋" w:cs="仿宋_GB2312"/>
          <w:sz w:val="28"/>
          <w:szCs w:val="28"/>
        </w:rPr>
        <w:t>7</w:t>
      </w:r>
      <w:r>
        <w:rPr>
          <w:rFonts w:hint="eastAsia" w:ascii="仿宋" w:hAnsi="仿宋" w:eastAsia="仿宋" w:cs="仿宋_GB2312"/>
          <w:sz w:val="28"/>
          <w:szCs w:val="28"/>
        </w:rPr>
        <w:t>部相关的国家与行业标准。</w:t>
      </w:r>
    </w:p>
    <w:p w14:paraId="58DCA3C5">
      <w:pPr>
        <w:pStyle w:val="11"/>
        <w:numPr>
          <w:ilvl w:val="0"/>
          <w:numId w:val="0"/>
        </w:numPr>
        <w:adjustRightInd w:val="0"/>
        <w:snapToGrid w:val="0"/>
        <w:spacing w:before="156" w:beforeLines="50" w:afterLines="0" w:line="360" w:lineRule="auto"/>
        <w:ind w:firstLine="560" w:firstLineChars="200"/>
        <w:outlineLvl w:val="9"/>
        <w:rPr>
          <w:rFonts w:ascii="仿宋" w:hAnsi="仿宋" w:eastAsia="仿宋" w:cs="Times New Roman"/>
          <w:kern w:val="2"/>
          <w:sz w:val="28"/>
          <w:szCs w:val="28"/>
        </w:rPr>
      </w:pPr>
      <w:r>
        <w:rPr>
          <w:rFonts w:hint="eastAsia" w:ascii="仿宋" w:hAnsi="仿宋" w:eastAsia="仿宋" w:cs="仿宋_GB2312"/>
          <w:kern w:val="2"/>
          <w:sz w:val="28"/>
          <w:szCs w:val="28"/>
        </w:rPr>
        <w:t>第二阶段，确定标准的思路。在总结前期研究工作的基础上，确定了标准的基本思路和内容。标准制定团队从</w:t>
      </w:r>
      <w:r>
        <w:rPr>
          <w:rFonts w:ascii="仿宋" w:hAnsi="仿宋" w:eastAsia="仿宋" w:cs="仿宋_GB2312"/>
          <w:kern w:val="2"/>
          <w:sz w:val="28"/>
          <w:szCs w:val="28"/>
        </w:rPr>
        <w:t>2012</w:t>
      </w:r>
      <w:r>
        <w:rPr>
          <w:rFonts w:hint="eastAsia" w:ascii="仿宋" w:hAnsi="仿宋" w:eastAsia="仿宋" w:cs="仿宋_GB2312"/>
          <w:kern w:val="2"/>
          <w:sz w:val="28"/>
          <w:szCs w:val="28"/>
        </w:rPr>
        <w:t>年开始致力农业废弃物资源化研究，形成了集微生物菌剂、秸秆还田技术和秸秆堆腐技术等一系列的土壤培肥模式，在山西省中北部进行了示范推广。连续多年的研究、推广工作为本标准制定提供了大量翔实的试验数据和应用验证资料，为制定《</w:t>
      </w:r>
      <w:r>
        <w:rPr>
          <w:rFonts w:hint="eastAsia" w:ascii="仿宋" w:hAnsi="仿宋" w:eastAsia="仿宋" w:cs="仿宋_GB2312"/>
          <w:sz w:val="28"/>
          <w:szCs w:val="28"/>
        </w:rPr>
        <w:t>休闲期玉米秸秆原位堆腐还田技术规程</w:t>
      </w:r>
      <w:r>
        <w:rPr>
          <w:rFonts w:hint="eastAsia" w:ascii="仿宋" w:hAnsi="仿宋" w:eastAsia="仿宋" w:cs="仿宋_GB2312"/>
          <w:kern w:val="2"/>
          <w:sz w:val="28"/>
          <w:szCs w:val="28"/>
        </w:rPr>
        <w:t>》地方标准提供了理论与技术支撑，形成了该标准的基本内容和思路。</w:t>
      </w:r>
    </w:p>
    <w:p w14:paraId="6E97CD91">
      <w:pPr>
        <w:adjustRightInd w:val="0"/>
        <w:snapToGrid w:val="0"/>
        <w:spacing w:before="156" w:beforeLines="50" w:line="360" w:lineRule="auto"/>
        <w:ind w:firstLine="560" w:firstLineChars="200"/>
        <w:rPr>
          <w:rFonts w:ascii="仿宋" w:hAnsi="仿宋" w:eastAsia="仿宋"/>
          <w:sz w:val="28"/>
          <w:szCs w:val="28"/>
        </w:rPr>
      </w:pPr>
      <w:r>
        <w:rPr>
          <w:rFonts w:hint="eastAsia" w:ascii="仿宋" w:hAnsi="仿宋" w:eastAsia="仿宋" w:cs="仿宋_GB2312"/>
          <w:sz w:val="28"/>
          <w:szCs w:val="28"/>
        </w:rPr>
        <w:t>第三阶段，形成标准初稿。标准起草工作组按照标准的要求，对标准的框架和内容进行了认真讨论，确定标准大纲，编制完成标准征求意见稿和编制说明，形成初步文稿。</w:t>
      </w:r>
    </w:p>
    <w:p w14:paraId="26DB933F">
      <w:pPr>
        <w:adjustRightInd w:val="0"/>
        <w:snapToGrid w:val="0"/>
        <w:spacing w:before="156" w:beforeLines="50" w:line="360" w:lineRule="auto"/>
        <w:ind w:firstLine="560" w:firstLineChars="200"/>
        <w:rPr>
          <w:rFonts w:ascii="仿宋" w:hAnsi="仿宋" w:eastAsia="仿宋"/>
          <w:sz w:val="28"/>
          <w:szCs w:val="28"/>
        </w:rPr>
      </w:pPr>
      <w:r>
        <w:rPr>
          <w:rFonts w:hint="eastAsia" w:ascii="仿宋" w:hAnsi="仿宋" w:eastAsia="仿宋" w:cs="仿宋_GB2312"/>
          <w:sz w:val="28"/>
          <w:szCs w:val="28"/>
        </w:rPr>
        <w:t>第四阶段，反复征求意见。标准初稿、征求意见稿、送审稿、编制说明经历多次专家评审和标准起草工作组内部会议修订。</w:t>
      </w:r>
    </w:p>
    <w:p w14:paraId="78B213E8">
      <w:pPr>
        <w:adjustRightInd w:val="0"/>
        <w:snapToGrid w:val="0"/>
        <w:spacing w:before="156" w:beforeLines="50" w:line="360" w:lineRule="auto"/>
        <w:ind w:firstLine="560" w:firstLineChars="200"/>
        <w:rPr>
          <w:rFonts w:hint="eastAsia" w:ascii="宋体" w:hAnsi="宋体"/>
          <w:b/>
          <w:sz w:val="32"/>
          <w:szCs w:val="32"/>
          <w:lang w:eastAsia="zh-CN"/>
        </w:rPr>
      </w:pPr>
      <w:r>
        <w:rPr>
          <w:rFonts w:hint="eastAsia" w:ascii="仿宋" w:hAnsi="仿宋" w:eastAsia="仿宋" w:cs="仿宋_GB2312"/>
          <w:sz w:val="28"/>
          <w:szCs w:val="28"/>
        </w:rPr>
        <w:t>第五阶段，通过审查。标准起草工作组采纳专家组意见，形成报批稿。</w:t>
      </w:r>
    </w:p>
    <w:p w14:paraId="33EE10C8">
      <w:pPr>
        <w:pStyle w:val="10"/>
        <w:numPr>
          <w:ilvl w:val="0"/>
          <w:numId w:val="3"/>
        </w:numPr>
        <w:spacing w:line="360" w:lineRule="auto"/>
        <w:ind w:left="0" w:leftChars="0" w:firstLine="630" w:firstLineChars="196"/>
        <w:rPr>
          <w:rFonts w:hint="eastAsia" w:ascii="宋体" w:hAnsi="宋体"/>
          <w:b/>
          <w:sz w:val="32"/>
          <w:szCs w:val="32"/>
        </w:rPr>
      </w:pPr>
      <w:r>
        <w:rPr>
          <w:rFonts w:hint="eastAsia" w:ascii="宋体" w:hAnsi="宋体"/>
          <w:b/>
          <w:sz w:val="32"/>
          <w:szCs w:val="32"/>
          <w:lang w:eastAsia="zh-CN"/>
        </w:rPr>
        <w:t>制定标准的原则和依据，</w:t>
      </w:r>
      <w:r>
        <w:rPr>
          <w:rFonts w:hint="eastAsia" w:ascii="宋体" w:hAnsi="宋体"/>
          <w:b/>
          <w:sz w:val="32"/>
          <w:szCs w:val="32"/>
        </w:rPr>
        <w:t>与现行法律、法规</w:t>
      </w:r>
      <w:r>
        <w:rPr>
          <w:rFonts w:hint="eastAsia" w:ascii="宋体" w:hAnsi="宋体"/>
          <w:b/>
          <w:sz w:val="32"/>
          <w:szCs w:val="32"/>
          <w:lang w:eastAsia="zh-CN"/>
        </w:rPr>
        <w:t>、标准</w:t>
      </w:r>
      <w:r>
        <w:rPr>
          <w:rFonts w:hint="eastAsia" w:ascii="宋体" w:hAnsi="宋体"/>
          <w:b/>
          <w:sz w:val="32"/>
          <w:szCs w:val="32"/>
        </w:rPr>
        <w:t>的关系</w:t>
      </w:r>
    </w:p>
    <w:p w14:paraId="2C4C76E8">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(一)制修订标准的原则和依据</w:t>
      </w:r>
    </w:p>
    <w:p w14:paraId="75267FE7">
      <w:pPr>
        <w:adjustRightInd w:val="0"/>
        <w:snapToGrid w:val="0"/>
        <w:spacing w:before="156" w:beforeLines="50" w:line="360" w:lineRule="auto"/>
        <w:ind w:firstLine="560" w:firstLineChars="200"/>
        <w:rPr>
          <w:rFonts w:hint="eastAsia" w:ascii="仿宋" w:hAnsi="仿宋" w:eastAsia="仿宋" w:cs="仿宋_GB2312"/>
          <w:sz w:val="28"/>
          <w:szCs w:val="28"/>
          <w:lang w:val="en-US" w:eastAsia="zh-CN"/>
        </w:rPr>
      </w:pPr>
      <w:r>
        <w:rPr>
          <w:rFonts w:hint="eastAsia" w:ascii="仿宋" w:hAnsi="仿宋" w:eastAsia="仿宋" w:cs="仿宋_GB2312"/>
          <w:sz w:val="28"/>
          <w:szCs w:val="28"/>
          <w:lang w:val="en-US" w:eastAsia="zh-CN"/>
        </w:rPr>
        <w:t>1、安全性</w:t>
      </w:r>
    </w:p>
    <w:p w14:paraId="2B60B3AF">
      <w:pPr>
        <w:adjustRightInd w:val="0"/>
        <w:snapToGrid w:val="0"/>
        <w:spacing w:before="156" w:beforeLines="50" w:line="360" w:lineRule="auto"/>
        <w:ind w:firstLine="560" w:firstLineChars="200"/>
        <w:rPr>
          <w:rFonts w:hint="eastAsia" w:ascii="仿宋" w:hAnsi="仿宋" w:eastAsia="仿宋" w:cs="仿宋_GB2312"/>
          <w:sz w:val="28"/>
          <w:szCs w:val="28"/>
          <w:lang w:val="en-US" w:eastAsia="zh-CN"/>
        </w:rPr>
      </w:pPr>
      <w:r>
        <w:rPr>
          <w:rFonts w:hint="eastAsia" w:ascii="仿宋" w:hAnsi="仿宋" w:eastAsia="仿宋" w:cs="仿宋_GB2312"/>
          <w:sz w:val="28"/>
          <w:szCs w:val="28"/>
          <w:lang w:val="en-US" w:eastAsia="zh-CN"/>
        </w:rPr>
        <w:t>本标准的修订是基于编制团队长期田间应用研究以及田间用户、市场的调研，所提出的施用技术完全安全、有效。</w:t>
      </w:r>
    </w:p>
    <w:p w14:paraId="42BC92D6">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lang w:val="en-US" w:eastAsia="zh-CN"/>
        </w:rPr>
        <w:t>2、</w:t>
      </w:r>
      <w:r>
        <w:rPr>
          <w:rFonts w:hint="eastAsia" w:ascii="仿宋" w:hAnsi="仿宋" w:eastAsia="仿宋" w:cs="仿宋_GB2312"/>
          <w:sz w:val="28"/>
          <w:szCs w:val="28"/>
        </w:rPr>
        <w:t>适应性</w:t>
      </w:r>
    </w:p>
    <w:p w14:paraId="0C6554F3">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本标准明确了在玉米休闲期秸秆原位堆腐中菌剂的活化、堆体的制作、翻堆、陈化的方法与技术</w:t>
      </w:r>
      <w:r>
        <w:rPr>
          <w:rFonts w:hint="eastAsia" w:ascii="仿宋" w:hAnsi="仿宋" w:eastAsia="仿宋" w:cs="仿宋_GB2312"/>
          <w:sz w:val="28"/>
          <w:szCs w:val="28"/>
          <w:lang w:val="en-US" w:eastAsia="zh-CN"/>
        </w:rPr>
        <w:t>，具有很强的适应性</w:t>
      </w:r>
      <w:r>
        <w:rPr>
          <w:rFonts w:hint="eastAsia" w:ascii="仿宋" w:hAnsi="仿宋" w:eastAsia="仿宋" w:cs="仿宋_GB2312"/>
          <w:sz w:val="28"/>
          <w:szCs w:val="28"/>
        </w:rPr>
        <w:t>。</w:t>
      </w:r>
    </w:p>
    <w:p w14:paraId="741C03FC">
      <w:pPr>
        <w:adjustRightInd w:val="0"/>
        <w:snapToGrid w:val="0"/>
        <w:spacing w:before="156" w:beforeLines="50" w:line="360" w:lineRule="auto"/>
        <w:ind w:firstLine="560" w:firstLineChars="200"/>
        <w:rPr>
          <w:rFonts w:hint="eastAsia" w:ascii="仿宋" w:hAnsi="仿宋" w:eastAsia="仿宋" w:cs="仿宋_GB2312"/>
          <w:sz w:val="28"/>
          <w:szCs w:val="28"/>
          <w:lang w:val="en-US" w:eastAsia="zh-CN"/>
        </w:rPr>
      </w:pPr>
      <w:r>
        <w:rPr>
          <w:rFonts w:hint="eastAsia" w:ascii="仿宋" w:hAnsi="仿宋" w:eastAsia="仿宋" w:cs="仿宋_GB2312"/>
          <w:sz w:val="28"/>
          <w:szCs w:val="28"/>
          <w:lang w:val="en-US" w:eastAsia="zh-CN"/>
        </w:rPr>
        <w:t>3、可操作性</w:t>
      </w:r>
    </w:p>
    <w:p w14:paraId="7B812269">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标准中设计的方法和技术均来源于多年的科学实验结果，具有科学性。标准</w:t>
      </w:r>
      <w:r>
        <w:rPr>
          <w:rFonts w:hint="eastAsia" w:ascii="仿宋" w:hAnsi="仿宋" w:eastAsia="仿宋" w:cs="仿宋_GB2312"/>
          <w:sz w:val="28"/>
          <w:szCs w:val="28"/>
          <w:lang w:val="en-US" w:eastAsia="zh-CN"/>
        </w:rPr>
        <w:t>修订</w:t>
      </w:r>
      <w:r>
        <w:rPr>
          <w:rFonts w:hint="eastAsia" w:ascii="仿宋" w:hAnsi="仿宋" w:eastAsia="仿宋" w:cs="仿宋_GB2312"/>
          <w:sz w:val="28"/>
          <w:szCs w:val="28"/>
        </w:rPr>
        <w:t>团队</w:t>
      </w:r>
      <w:r>
        <w:rPr>
          <w:rFonts w:hint="eastAsia" w:ascii="仿宋" w:hAnsi="仿宋" w:eastAsia="仿宋" w:cs="仿宋_GB2312"/>
          <w:sz w:val="28"/>
          <w:szCs w:val="28"/>
          <w:lang w:val="en-US" w:eastAsia="zh-CN"/>
        </w:rPr>
        <w:t>长期从事秸秆还田、微生物肥料研发与示范</w:t>
      </w:r>
      <w:r>
        <w:rPr>
          <w:rFonts w:hint="eastAsia" w:ascii="仿宋" w:hAnsi="仿宋" w:eastAsia="仿宋" w:cs="仿宋_GB2312"/>
          <w:sz w:val="28"/>
          <w:szCs w:val="28"/>
        </w:rPr>
        <w:t>研究，形成了成熟的技术体系和技术模式</w:t>
      </w:r>
      <w:r>
        <w:rPr>
          <w:rFonts w:hint="eastAsia" w:ascii="仿宋" w:hAnsi="仿宋" w:eastAsia="仿宋" w:cs="仿宋_GB2312"/>
          <w:sz w:val="28"/>
          <w:szCs w:val="28"/>
          <w:lang w:eastAsia="zh-CN"/>
        </w:rPr>
        <w:t>；</w:t>
      </w:r>
      <w:r>
        <w:rPr>
          <w:rFonts w:hint="eastAsia" w:ascii="仿宋" w:hAnsi="仿宋" w:eastAsia="仿宋" w:cs="仿宋_GB2312"/>
          <w:sz w:val="28"/>
          <w:szCs w:val="28"/>
        </w:rPr>
        <w:t>通过连续多年的研究、推广工作以及农户、合作社和的调研为本标准修订提供了大量翔实的实验数据和大面积应用验证资料</w:t>
      </w:r>
      <w:r>
        <w:rPr>
          <w:rFonts w:hint="eastAsia" w:ascii="仿宋" w:hAnsi="仿宋" w:eastAsia="仿宋" w:cs="仿宋_GB2312"/>
          <w:sz w:val="28"/>
          <w:szCs w:val="28"/>
          <w:lang w:eastAsia="zh-CN"/>
        </w:rPr>
        <w:t>，</w:t>
      </w:r>
      <w:r>
        <w:rPr>
          <w:rFonts w:hint="eastAsia" w:ascii="仿宋" w:hAnsi="仿宋" w:eastAsia="仿宋" w:cs="仿宋_GB2312"/>
          <w:sz w:val="28"/>
          <w:szCs w:val="28"/>
        </w:rPr>
        <w:t>保证了该项标准制定的科学性</w:t>
      </w:r>
      <w:r>
        <w:rPr>
          <w:rFonts w:hint="eastAsia" w:ascii="仿宋" w:hAnsi="仿宋" w:eastAsia="仿宋" w:cs="仿宋_GB2312"/>
          <w:sz w:val="28"/>
          <w:szCs w:val="28"/>
          <w:lang w:val="en-US" w:eastAsia="zh-CN"/>
        </w:rPr>
        <w:t>与先进性</w:t>
      </w:r>
      <w:r>
        <w:rPr>
          <w:rFonts w:hint="eastAsia" w:ascii="仿宋" w:hAnsi="仿宋" w:eastAsia="仿宋" w:cs="仿宋_GB2312"/>
          <w:sz w:val="28"/>
          <w:szCs w:val="28"/>
        </w:rPr>
        <w:t>。</w:t>
      </w:r>
    </w:p>
    <w:p w14:paraId="126D1CAC">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（二）与有关现行法律、法规的关系</w:t>
      </w:r>
    </w:p>
    <w:p w14:paraId="0497AC99">
      <w:pPr>
        <w:adjustRightInd w:val="0"/>
        <w:snapToGrid w:val="0"/>
        <w:spacing w:before="156" w:beforeLines="50" w:line="360" w:lineRule="auto"/>
        <w:ind w:firstLine="560" w:firstLineChars="200"/>
        <w:rPr>
          <w:rFonts w:hint="eastAsia" w:ascii="仿宋" w:hAnsi="仿宋" w:eastAsia="仿宋" w:cs="仿宋_GB2312"/>
          <w:sz w:val="28"/>
          <w:szCs w:val="28"/>
          <w:lang w:val="en-US" w:eastAsia="zh-CN"/>
        </w:rPr>
      </w:pPr>
      <w:r>
        <w:rPr>
          <w:rFonts w:hint="eastAsia" w:ascii="仿宋" w:hAnsi="仿宋" w:eastAsia="仿宋" w:cs="仿宋_GB2312"/>
          <w:sz w:val="28"/>
          <w:szCs w:val="28"/>
          <w:lang w:val="en-US" w:eastAsia="zh-CN"/>
        </w:rPr>
        <w:t>1、合法性</w:t>
      </w:r>
    </w:p>
    <w:p w14:paraId="18E23435">
      <w:pPr>
        <w:adjustRightInd w:val="0"/>
        <w:snapToGrid w:val="0"/>
        <w:spacing w:before="156" w:beforeLines="50" w:line="360" w:lineRule="auto"/>
        <w:ind w:firstLine="560" w:firstLineChars="200"/>
        <w:rPr>
          <w:rFonts w:hint="eastAsia" w:ascii="仿宋" w:hAnsi="仿宋" w:eastAsia="仿宋" w:cs="仿宋_GB2312"/>
          <w:sz w:val="28"/>
          <w:szCs w:val="28"/>
          <w:lang w:val="en-US" w:eastAsia="zh-CN"/>
        </w:rPr>
      </w:pPr>
      <w:r>
        <w:rPr>
          <w:rFonts w:hint="eastAsia" w:ascii="仿宋" w:hAnsi="仿宋" w:eastAsia="仿宋" w:cs="仿宋_GB2312"/>
          <w:sz w:val="28"/>
          <w:szCs w:val="28"/>
        </w:rPr>
        <w:t>本标准严格遵循《中华人民共和国标准化法》、《中华人民共和国农业法》、《中华人民共和国农业技术推广法》等法律和国家技术监督局《农业标准化管理办法》等部门规章</w:t>
      </w:r>
      <w:r>
        <w:rPr>
          <w:rFonts w:hint="eastAsia" w:ascii="仿宋" w:hAnsi="仿宋" w:eastAsia="仿宋" w:cs="仿宋_GB2312"/>
          <w:sz w:val="28"/>
          <w:szCs w:val="28"/>
          <w:lang w:eastAsia="zh-CN"/>
        </w:rPr>
        <w:t>，</w:t>
      </w:r>
      <w:r>
        <w:rPr>
          <w:rFonts w:hint="eastAsia" w:ascii="仿宋" w:hAnsi="仿宋" w:eastAsia="仿宋" w:cs="仿宋_GB2312"/>
          <w:sz w:val="28"/>
          <w:szCs w:val="28"/>
          <w:lang w:val="en-US" w:eastAsia="zh-CN"/>
        </w:rPr>
        <w:t>具有合法性</w:t>
      </w:r>
    </w:p>
    <w:p w14:paraId="47DFA7AE">
      <w:pPr>
        <w:adjustRightInd w:val="0"/>
        <w:snapToGrid w:val="0"/>
        <w:spacing w:before="156" w:beforeLines="50" w:line="360" w:lineRule="auto"/>
        <w:ind w:firstLine="560" w:firstLineChars="200"/>
        <w:rPr>
          <w:rFonts w:hint="eastAsia" w:ascii="仿宋" w:hAnsi="仿宋" w:eastAsia="仿宋" w:cs="仿宋_GB2312"/>
          <w:sz w:val="28"/>
          <w:szCs w:val="28"/>
          <w:lang w:val="en-US" w:eastAsia="zh-CN"/>
        </w:rPr>
      </w:pPr>
      <w:r>
        <w:rPr>
          <w:rFonts w:hint="eastAsia" w:ascii="仿宋" w:hAnsi="仿宋" w:eastAsia="仿宋" w:cs="仿宋_GB2312"/>
          <w:sz w:val="28"/>
          <w:szCs w:val="28"/>
          <w:lang w:val="en-US" w:eastAsia="zh-CN"/>
        </w:rPr>
        <w:t>2、协调性</w:t>
      </w:r>
    </w:p>
    <w:p w14:paraId="085EB715">
      <w:pPr>
        <w:adjustRightInd w:val="0"/>
        <w:snapToGrid w:val="0"/>
        <w:spacing w:before="156" w:beforeLines="50" w:line="360" w:lineRule="auto"/>
        <w:ind w:firstLine="560" w:firstLineChars="200"/>
        <w:rPr>
          <w:rFonts w:hint="eastAsia" w:ascii="宋体" w:hAnsi="宋体"/>
          <w:b/>
          <w:sz w:val="32"/>
          <w:szCs w:val="32"/>
        </w:rPr>
      </w:pPr>
      <w:r>
        <w:rPr>
          <w:rFonts w:hint="eastAsia" w:ascii="仿宋" w:hAnsi="仿宋" w:eastAsia="仿宋" w:cs="仿宋_GB2312"/>
          <w:sz w:val="28"/>
          <w:szCs w:val="28"/>
        </w:rPr>
        <w:t>本标准的制定参照了相关的国家标准和行业标准，和国标、行标具有</w:t>
      </w:r>
      <w:r>
        <w:rPr>
          <w:rFonts w:hint="eastAsia" w:ascii="仿宋" w:hAnsi="仿宋" w:eastAsia="仿宋" w:cs="仿宋_GB2312"/>
          <w:sz w:val="28"/>
          <w:szCs w:val="28"/>
          <w:lang w:val="en-US" w:eastAsia="zh-CN"/>
        </w:rPr>
        <w:t>协调</w:t>
      </w:r>
      <w:r>
        <w:rPr>
          <w:rFonts w:hint="eastAsia" w:ascii="仿宋" w:hAnsi="仿宋" w:eastAsia="仿宋" w:cs="仿宋_GB2312"/>
          <w:sz w:val="28"/>
          <w:szCs w:val="28"/>
        </w:rPr>
        <w:t>性。</w:t>
      </w:r>
    </w:p>
    <w:p w14:paraId="2E727BD5">
      <w:pPr>
        <w:numPr>
          <w:ilvl w:val="0"/>
          <w:numId w:val="3"/>
        </w:numPr>
        <w:spacing w:line="360" w:lineRule="auto"/>
        <w:ind w:left="0" w:leftChars="0" w:firstLine="630" w:firstLineChars="196"/>
        <w:rPr>
          <w:rFonts w:hint="eastAsia" w:ascii="宋体" w:hAnsi="宋体"/>
          <w:b/>
          <w:sz w:val="32"/>
          <w:szCs w:val="32"/>
          <w:lang w:eastAsia="zh-CN"/>
        </w:rPr>
      </w:pPr>
      <w:r>
        <w:rPr>
          <w:rFonts w:hint="eastAsia" w:ascii="宋体" w:hAnsi="宋体"/>
          <w:b/>
          <w:sz w:val="32"/>
          <w:szCs w:val="32"/>
          <w:lang w:eastAsia="zh-CN"/>
        </w:rPr>
        <w:t>主要条款说明</w:t>
      </w:r>
    </w:p>
    <w:p w14:paraId="4E0453DF">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1、腐熟菌剂和尿素准备（4.</w:t>
      </w:r>
      <w:r>
        <w:rPr>
          <w:rFonts w:hint="eastAsia" w:ascii="仿宋" w:hAnsi="仿宋" w:eastAsia="仿宋" w:cs="仿宋_GB2312"/>
          <w:sz w:val="28"/>
          <w:szCs w:val="28"/>
          <w:lang w:val="en-US" w:eastAsia="zh-CN"/>
        </w:rPr>
        <w:t>4</w:t>
      </w:r>
      <w:r>
        <w:rPr>
          <w:rFonts w:hint="eastAsia" w:ascii="仿宋" w:hAnsi="仿宋" w:eastAsia="仿宋" w:cs="仿宋_GB2312"/>
          <w:sz w:val="28"/>
          <w:szCs w:val="28"/>
        </w:rPr>
        <w:t>）</w:t>
      </w:r>
    </w:p>
    <w:p w14:paraId="4D05E797">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在长治襄垣长期试验基地上在玉米秋收后进行秸秆原位堆腐，制作堆体，筛选影响堆体发酵的主要影响因素：接菌量和氮肥用量。接菌量设置4个处理，分别为秸秆总量的5%、10%、15%和20%，氮肥用量设置4个C/N比的梯度，分别为20、25、30、35。</w:t>
      </w:r>
    </w:p>
    <w:p w14:paraId="5880FF88">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在堆腐的第1、5、15、25、35、45、55天进行取样调查，调查菌剂添加量对秸秆腐熟的影响，检测的指标包括堆体温度、秸秆拉力和秸秆失重率（图2）。试验结果表明菌剂添加量大于10%时，在堆腐的第五天堆体温度就开始大幅增高，从22℃提高到58℃、65℃、62℃，显著大于菌剂添加量为5%，其中添加量为15%时，升温最快。第15天时，添加量</w:t>
      </w:r>
      <w:bookmarkStart w:id="1" w:name="_Hlk137022836"/>
      <w:r>
        <w:rPr>
          <w:rFonts w:hint="eastAsia" w:ascii="仿宋" w:hAnsi="仿宋" w:eastAsia="仿宋" w:cs="仿宋_GB2312"/>
          <w:sz w:val="28"/>
          <w:szCs w:val="28"/>
        </w:rPr>
        <w:t>为10%、15%和20%各处理</w:t>
      </w:r>
      <w:bookmarkEnd w:id="1"/>
      <w:r>
        <w:rPr>
          <w:rFonts w:hint="eastAsia" w:ascii="仿宋" w:hAnsi="仿宋" w:eastAsia="仿宋" w:cs="仿宋_GB2312"/>
          <w:sz w:val="28"/>
          <w:szCs w:val="28"/>
        </w:rPr>
        <w:t>均达到最高温度，大于60℃的温度可以保持到第35天。添加量为5%时，最高温在第25天时才会达到。对秸秆拉力进行检测时发现，添加量为10%、15%和20%的处理秸秆拉力从堆腐的第5天开始急剧下降，添加量为10%、15%和20%处理间差异并不显著。菌剂添加量为5%时，秸秆拉力下降的拐点在15天时出现。比较秸秆的失重率时发现，在秸秆堆腐25天时，菌剂添加量为10%、15%和20%各处理，秸秆失重率均高于11%，其中菌剂添加量为20%时，失重率达到13.56%，在堆腐55天后，各处理的秸秆失重率分别达到41.3%、51%、53.9%和53.1%，菌剂添加量为10%、15%、20%间差异不显著，均达到了较好的腐解效果。</w:t>
      </w:r>
    </w:p>
    <w:p w14:paraId="1D310AFD">
      <w:pPr>
        <w:adjustRightInd w:val="0"/>
        <w:snapToGrid w:val="0"/>
        <w:spacing w:line="360" w:lineRule="auto"/>
        <w:jc w:val="center"/>
        <w:rPr>
          <w:rFonts w:ascii="仿宋" w:hAnsi="仿宋" w:eastAsia="仿宋" w:cs="仿宋_GB2312"/>
          <w:sz w:val="28"/>
          <w:szCs w:val="28"/>
        </w:rPr>
      </w:pPr>
      <w:r>
        <w:rPr>
          <w:rFonts w:ascii="仿宋" w:hAnsi="仿宋" w:eastAsia="仿宋" w:cs="仿宋_GB2312"/>
          <w:sz w:val="28"/>
          <w:szCs w:val="28"/>
        </w:rPr>
        <w:drawing>
          <wp:inline distT="0" distB="0" distL="114300" distR="114300">
            <wp:extent cx="3756660" cy="2256155"/>
            <wp:effectExtent l="0" t="0" r="15240" b="1079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3756660" cy="2256155"/>
                    </a:xfrm>
                    <a:prstGeom prst="rect">
                      <a:avLst/>
                    </a:prstGeom>
                    <a:noFill/>
                    <a:ln>
                      <a:noFill/>
                    </a:ln>
                  </pic:spPr>
                </pic:pic>
              </a:graphicData>
            </a:graphic>
          </wp:inline>
        </w:drawing>
      </w:r>
    </w:p>
    <w:p w14:paraId="703DCB56">
      <w:pPr>
        <w:adjustRightInd w:val="0"/>
        <w:snapToGrid w:val="0"/>
        <w:spacing w:line="360" w:lineRule="auto"/>
        <w:jc w:val="center"/>
        <w:rPr>
          <w:rFonts w:ascii="仿宋" w:hAnsi="仿宋" w:eastAsia="仿宋" w:cs="仿宋_GB2312"/>
          <w:sz w:val="28"/>
          <w:szCs w:val="28"/>
        </w:rPr>
      </w:pPr>
      <w:r>
        <w:rPr>
          <w:rFonts w:ascii="仿宋" w:hAnsi="仿宋" w:eastAsia="仿宋"/>
        </w:rPr>
        <w:drawing>
          <wp:inline distT="0" distB="0" distL="114300" distR="114300">
            <wp:extent cx="3783330" cy="2237740"/>
            <wp:effectExtent l="0" t="0" r="7620" b="1016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7"/>
                    <a:stretch>
                      <a:fillRect/>
                    </a:stretch>
                  </pic:blipFill>
                  <pic:spPr>
                    <a:xfrm>
                      <a:off x="0" y="0"/>
                      <a:ext cx="3783330" cy="2237740"/>
                    </a:xfrm>
                    <a:prstGeom prst="rect">
                      <a:avLst/>
                    </a:prstGeom>
                    <a:noFill/>
                    <a:ln>
                      <a:noFill/>
                    </a:ln>
                  </pic:spPr>
                </pic:pic>
              </a:graphicData>
            </a:graphic>
          </wp:inline>
        </w:drawing>
      </w:r>
    </w:p>
    <w:p w14:paraId="3BCAA8CC">
      <w:pPr>
        <w:adjustRightInd w:val="0"/>
        <w:snapToGrid w:val="0"/>
        <w:spacing w:line="360" w:lineRule="auto"/>
        <w:jc w:val="center"/>
        <w:rPr>
          <w:rFonts w:ascii="仿宋" w:hAnsi="仿宋" w:eastAsia="仿宋" w:cs="仿宋_GB2312"/>
          <w:sz w:val="28"/>
          <w:szCs w:val="28"/>
        </w:rPr>
      </w:pPr>
      <w:r>
        <w:rPr>
          <w:rFonts w:ascii="仿宋" w:hAnsi="仿宋" w:eastAsia="仿宋"/>
        </w:rPr>
        <w:drawing>
          <wp:inline distT="0" distB="0" distL="114300" distR="114300">
            <wp:extent cx="3769995" cy="2232660"/>
            <wp:effectExtent l="0" t="0" r="1905" b="152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3769995" cy="2232660"/>
                    </a:xfrm>
                    <a:prstGeom prst="rect">
                      <a:avLst/>
                    </a:prstGeom>
                    <a:noFill/>
                    <a:ln>
                      <a:noFill/>
                    </a:ln>
                  </pic:spPr>
                </pic:pic>
              </a:graphicData>
            </a:graphic>
          </wp:inline>
        </w:drawing>
      </w:r>
    </w:p>
    <w:p w14:paraId="1D1B7578">
      <w:pPr>
        <w:adjustRightInd w:val="0"/>
        <w:spacing w:before="156" w:beforeLines="50" w:line="360" w:lineRule="auto"/>
        <w:jc w:val="center"/>
        <w:rPr>
          <w:rFonts w:hint="eastAsia" w:ascii="仿宋" w:hAnsi="仿宋" w:eastAsia="仿宋" w:cs="仿宋_GB2312"/>
          <w:sz w:val="28"/>
          <w:szCs w:val="28"/>
        </w:rPr>
      </w:pPr>
      <w:r>
        <w:rPr>
          <w:rFonts w:hint="eastAsia" w:ascii="仿宋" w:hAnsi="仿宋" w:eastAsia="仿宋" w:cs="仿宋_GB2312"/>
          <w:sz w:val="28"/>
          <w:szCs w:val="28"/>
        </w:rPr>
        <w:t>图</w:t>
      </w:r>
      <w:r>
        <w:rPr>
          <w:rFonts w:ascii="仿宋" w:hAnsi="仿宋" w:eastAsia="仿宋" w:cs="仿宋_GB2312"/>
          <w:sz w:val="28"/>
          <w:szCs w:val="28"/>
        </w:rPr>
        <w:t xml:space="preserve">1 </w:t>
      </w:r>
      <w:r>
        <w:rPr>
          <w:rFonts w:hint="eastAsia" w:ascii="仿宋" w:hAnsi="仿宋" w:eastAsia="仿宋" w:cs="仿宋_GB2312"/>
          <w:sz w:val="28"/>
          <w:szCs w:val="28"/>
        </w:rPr>
        <w:t>接菌量对堆体温度、秸秆拉力和秸秆失重率的影响</w:t>
      </w:r>
    </w:p>
    <w:p w14:paraId="418B1D39">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在堆腐的第1、5、15、25、35、45、55天进行取样调查，调查碳氮比对秸秆腐熟的影响，检测的指标包括堆体温度、秸秆拉力和秸秆失重率（图3）。试验结果表明在堆腐的第5天堆体温度就开始大幅增高，C/N为30时，堆体温度从22℃提高到68℃，大于C/N为25（60℃）和35（62℃），显著地大于C/N为20（51℃）。第15天时，C/N为25、30、35各处理均达到最高温度，</w:t>
      </w:r>
      <w:bookmarkStart w:id="2" w:name="_Hlk137022691"/>
      <w:r>
        <w:rPr>
          <w:rFonts w:hint="eastAsia" w:ascii="仿宋" w:hAnsi="仿宋" w:eastAsia="仿宋" w:cs="仿宋_GB2312"/>
          <w:sz w:val="28"/>
          <w:szCs w:val="28"/>
        </w:rPr>
        <w:t>大于60℃的温度可以保持到第35天</w:t>
      </w:r>
      <w:bookmarkEnd w:id="2"/>
      <w:r>
        <w:rPr>
          <w:rFonts w:hint="eastAsia" w:ascii="仿宋" w:hAnsi="仿宋" w:eastAsia="仿宋" w:cs="仿宋_GB2312"/>
          <w:sz w:val="28"/>
          <w:szCs w:val="28"/>
        </w:rPr>
        <w:t>。C/N为20时，最高温在第25天时才会达到。对秸秆拉力进行检测时发现，C/N为25、30、35各处理秸秆拉力从堆腐的第5天开始急剧下降，C/N为20时，秸秆拉力下降的拐点在15天时出现。到堆腐55天时，C/N为20、25、30、35处理的秸秆拉力分别为45N、22N、20N、33N，C/N为25和30的处理间秸秆拉力变化差异不显著。比较秸秆的失重率时发现，在秸秆堆腐25天时，菌剂添加量大于10%时，秸秆失重率均高于11%，其中菌剂添加量为20%时，C/N为25和30的处理时，秸秆失重率超过12%，在堆腐55天后，C/N为20、25、30、35各处理的秸秆失重率分别达到43%、52%、50%和46%，C/N为25和30的处理间差异不显著，均达到了较好的腐解效果。</w:t>
      </w:r>
    </w:p>
    <w:p w14:paraId="52BE907D">
      <w:pPr>
        <w:adjustRightInd w:val="0"/>
        <w:snapToGrid w:val="0"/>
        <w:spacing w:line="360" w:lineRule="auto"/>
        <w:jc w:val="center"/>
      </w:pPr>
      <w:r>
        <w:drawing>
          <wp:inline distT="0" distB="0" distL="114300" distR="114300">
            <wp:extent cx="3504565" cy="2371090"/>
            <wp:effectExtent l="4445" t="4445" r="15240" b="57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drawing>
          <wp:inline distT="0" distB="0" distL="114300" distR="114300">
            <wp:extent cx="3590290" cy="2446020"/>
            <wp:effectExtent l="4445" t="4445" r="5715" b="698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B6E00ED">
      <w:pPr>
        <w:adjustRightInd w:val="0"/>
        <w:snapToGrid w:val="0"/>
        <w:spacing w:line="360" w:lineRule="auto"/>
        <w:jc w:val="center"/>
      </w:pPr>
      <w:r>
        <w:drawing>
          <wp:inline distT="0" distB="0" distL="114300" distR="114300">
            <wp:extent cx="3630295" cy="2454910"/>
            <wp:effectExtent l="4445" t="4445" r="22860" b="1714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A4859AA">
      <w:pPr>
        <w:adjustRightInd w:val="0"/>
        <w:spacing w:before="156" w:beforeLines="50" w:line="360" w:lineRule="auto"/>
        <w:jc w:val="center"/>
        <w:rPr>
          <w:rFonts w:hint="eastAsia" w:ascii="仿宋" w:hAnsi="仿宋" w:eastAsia="仿宋" w:cs="仿宋_GB2312"/>
          <w:sz w:val="28"/>
          <w:szCs w:val="28"/>
        </w:rPr>
      </w:pPr>
      <w:r>
        <w:rPr>
          <w:rFonts w:hint="eastAsia" w:ascii="仿宋" w:hAnsi="仿宋" w:eastAsia="仿宋" w:cs="仿宋_GB2312"/>
          <w:sz w:val="28"/>
          <w:szCs w:val="28"/>
        </w:rPr>
        <w:t>图</w:t>
      </w:r>
      <w:r>
        <w:rPr>
          <w:rFonts w:ascii="仿宋" w:hAnsi="仿宋" w:eastAsia="仿宋" w:cs="仿宋_GB2312"/>
          <w:sz w:val="28"/>
          <w:szCs w:val="28"/>
        </w:rPr>
        <w:t xml:space="preserve">2 </w:t>
      </w:r>
      <w:r>
        <w:rPr>
          <w:rFonts w:hint="eastAsia" w:ascii="仿宋" w:hAnsi="仿宋" w:eastAsia="仿宋" w:cs="仿宋_GB2312"/>
          <w:sz w:val="28"/>
          <w:szCs w:val="28"/>
        </w:rPr>
        <w:t>C</w:t>
      </w:r>
      <w:r>
        <w:rPr>
          <w:rFonts w:ascii="仿宋" w:hAnsi="仿宋" w:eastAsia="仿宋" w:cs="仿宋_GB2312"/>
          <w:sz w:val="28"/>
          <w:szCs w:val="28"/>
        </w:rPr>
        <w:t>/N</w:t>
      </w:r>
      <w:r>
        <w:rPr>
          <w:rFonts w:hint="eastAsia" w:ascii="仿宋" w:hAnsi="仿宋" w:eastAsia="仿宋" w:cs="仿宋_GB2312"/>
          <w:sz w:val="28"/>
          <w:szCs w:val="28"/>
        </w:rPr>
        <w:t>对堆体温度、秸秆拉力和秸秆失重率的影响</w:t>
      </w:r>
    </w:p>
    <w:p w14:paraId="4102819D">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2、还田技术（第5章）</w:t>
      </w:r>
    </w:p>
    <w:p w14:paraId="2E004069">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（1）土壤培肥效果研究</w:t>
      </w:r>
    </w:p>
    <w:p w14:paraId="7870CCFC">
      <w:pPr>
        <w:adjustRightInd w:val="0"/>
        <w:snapToGrid w:val="0"/>
        <w:spacing w:before="156" w:beforeLines="50" w:line="360" w:lineRule="auto"/>
        <w:ind w:firstLine="560" w:firstLineChars="200"/>
        <w:rPr>
          <w:rFonts w:ascii="仿宋" w:hAnsi="仿宋" w:eastAsia="仿宋"/>
          <w:sz w:val="28"/>
          <w:szCs w:val="28"/>
        </w:rPr>
      </w:pPr>
      <w:bookmarkStart w:id="3" w:name="_Hlk132277564"/>
      <w:bookmarkStart w:id="4" w:name="_Hlk132270910"/>
      <w:r>
        <w:rPr>
          <w:rFonts w:hint="eastAsia" w:ascii="仿宋" w:hAnsi="仿宋" w:eastAsia="仿宋" w:cs="仿宋_GB2312"/>
          <w:sz w:val="28"/>
          <w:szCs w:val="28"/>
        </w:rPr>
        <w:t>在古交、晋城和长治矿区新复垦土地上进行秸秆堆腐还田技术研究，实验设不施肥（CK）、化肥（F）和80%化肥+秸秆堆腐肥（BMF），种植作物为玉米。试验区土壤全氮、有机质、碱解氮和有效磷含量较化肥（F）显著提升，分别提高了19%-23%、</w:t>
      </w:r>
      <w:bookmarkStart w:id="5" w:name="_Hlk132906255"/>
      <w:r>
        <w:rPr>
          <w:rFonts w:hint="eastAsia" w:ascii="仿宋" w:hAnsi="仿宋" w:eastAsia="仿宋" w:cs="仿宋_GB2312"/>
          <w:sz w:val="28"/>
          <w:szCs w:val="28"/>
        </w:rPr>
        <w:t>21%-25%</w:t>
      </w:r>
      <w:bookmarkEnd w:id="5"/>
      <w:r>
        <w:rPr>
          <w:rFonts w:hint="eastAsia" w:ascii="仿宋" w:hAnsi="仿宋" w:eastAsia="仿宋" w:cs="仿宋_GB2312"/>
          <w:sz w:val="28"/>
          <w:szCs w:val="28"/>
        </w:rPr>
        <w:t>、21%-22%和18%-30%。</w:t>
      </w:r>
      <w:bookmarkEnd w:id="3"/>
    </w:p>
    <w:bookmarkEnd w:id="4"/>
    <w:p w14:paraId="061E01E2">
      <w:pPr>
        <w:adjustRightInd w:val="0"/>
        <w:snapToGrid w:val="0"/>
        <w:spacing w:line="360" w:lineRule="auto"/>
        <w:rPr>
          <w:rFonts w:ascii="仿宋" w:hAnsi="仿宋" w:eastAsia="仿宋"/>
          <w:sz w:val="28"/>
          <w:szCs w:val="28"/>
        </w:rPr>
      </w:pPr>
      <w:r>
        <w:rPr>
          <w:rFonts w:ascii="仿宋" w:hAnsi="仿宋" w:eastAsia="仿宋"/>
          <w:sz w:val="28"/>
          <w:szCs w:val="28"/>
        </w:rPr>
        <w:drawing>
          <wp:inline distT="0" distB="0" distL="114300" distR="114300">
            <wp:extent cx="2542540" cy="2005965"/>
            <wp:effectExtent l="0" t="0" r="10160" b="1333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2"/>
                    <a:stretch>
                      <a:fillRect/>
                    </a:stretch>
                  </pic:blipFill>
                  <pic:spPr>
                    <a:xfrm>
                      <a:off x="0" y="0"/>
                      <a:ext cx="2542540" cy="2005965"/>
                    </a:xfrm>
                    <a:prstGeom prst="rect">
                      <a:avLst/>
                    </a:prstGeom>
                    <a:noFill/>
                    <a:ln>
                      <a:noFill/>
                    </a:ln>
                  </pic:spPr>
                </pic:pic>
              </a:graphicData>
            </a:graphic>
          </wp:inline>
        </w:drawing>
      </w:r>
      <w:r>
        <w:rPr>
          <w:rFonts w:ascii="仿宋" w:hAnsi="仿宋" w:eastAsia="仿宋"/>
          <w:sz w:val="28"/>
          <w:szCs w:val="28"/>
        </w:rPr>
        <w:drawing>
          <wp:inline distT="0" distB="0" distL="114300" distR="114300">
            <wp:extent cx="2542540" cy="2005965"/>
            <wp:effectExtent l="0" t="0" r="10160" b="1333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3"/>
                    <a:stretch>
                      <a:fillRect/>
                    </a:stretch>
                  </pic:blipFill>
                  <pic:spPr>
                    <a:xfrm>
                      <a:off x="0" y="0"/>
                      <a:ext cx="2542540" cy="2005965"/>
                    </a:xfrm>
                    <a:prstGeom prst="rect">
                      <a:avLst/>
                    </a:prstGeom>
                    <a:noFill/>
                    <a:ln>
                      <a:noFill/>
                    </a:ln>
                  </pic:spPr>
                </pic:pic>
              </a:graphicData>
            </a:graphic>
          </wp:inline>
        </w:drawing>
      </w:r>
    </w:p>
    <w:p w14:paraId="18AC86E8">
      <w:pPr>
        <w:adjustRightInd w:val="0"/>
        <w:snapToGrid w:val="0"/>
        <w:spacing w:line="360" w:lineRule="auto"/>
        <w:rPr>
          <w:rFonts w:ascii="仿宋" w:hAnsi="仿宋" w:eastAsia="仿宋"/>
          <w:sz w:val="28"/>
          <w:szCs w:val="28"/>
        </w:rPr>
      </w:pPr>
      <w:r>
        <w:rPr>
          <w:rFonts w:ascii="仿宋" w:hAnsi="仿宋" w:eastAsia="仿宋"/>
          <w:sz w:val="28"/>
          <w:szCs w:val="28"/>
        </w:rPr>
        <w:drawing>
          <wp:inline distT="0" distB="0" distL="114300" distR="114300">
            <wp:extent cx="2542540" cy="2005965"/>
            <wp:effectExtent l="0" t="0" r="10160" b="1333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2542540" cy="2005965"/>
                    </a:xfrm>
                    <a:prstGeom prst="rect">
                      <a:avLst/>
                    </a:prstGeom>
                    <a:noFill/>
                    <a:ln>
                      <a:noFill/>
                    </a:ln>
                  </pic:spPr>
                </pic:pic>
              </a:graphicData>
            </a:graphic>
          </wp:inline>
        </w:drawing>
      </w:r>
      <w:r>
        <w:rPr>
          <w:rFonts w:ascii="仿宋" w:hAnsi="仿宋" w:eastAsia="仿宋"/>
          <w:sz w:val="28"/>
          <w:szCs w:val="28"/>
        </w:rPr>
        <w:drawing>
          <wp:inline distT="0" distB="0" distL="114300" distR="114300">
            <wp:extent cx="2536190" cy="2005965"/>
            <wp:effectExtent l="0" t="0" r="16510" b="1333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5"/>
                    <a:stretch>
                      <a:fillRect/>
                    </a:stretch>
                  </pic:blipFill>
                  <pic:spPr>
                    <a:xfrm>
                      <a:off x="0" y="0"/>
                      <a:ext cx="2536190" cy="2005965"/>
                    </a:xfrm>
                    <a:prstGeom prst="rect">
                      <a:avLst/>
                    </a:prstGeom>
                    <a:noFill/>
                    <a:ln>
                      <a:noFill/>
                    </a:ln>
                  </pic:spPr>
                </pic:pic>
              </a:graphicData>
            </a:graphic>
          </wp:inline>
        </w:drawing>
      </w:r>
    </w:p>
    <w:p w14:paraId="2CAE6E85">
      <w:pPr>
        <w:adjustRightInd w:val="0"/>
        <w:snapToGrid w:val="0"/>
        <w:spacing w:line="360" w:lineRule="auto"/>
        <w:ind w:firstLine="560" w:firstLineChars="200"/>
        <w:jc w:val="center"/>
        <w:rPr>
          <w:rFonts w:ascii="仿宋" w:hAnsi="仿宋" w:eastAsia="仿宋"/>
          <w:sz w:val="28"/>
          <w:szCs w:val="28"/>
        </w:rPr>
      </w:pPr>
      <w:r>
        <w:rPr>
          <w:rFonts w:ascii="仿宋" w:hAnsi="仿宋" w:eastAsia="仿宋"/>
          <w:sz w:val="28"/>
          <w:szCs w:val="28"/>
        </w:rPr>
        <w:t>图3 示范区土壤养分</w:t>
      </w:r>
    </w:p>
    <w:p w14:paraId="273EB3BB">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（2）土壤微生物活性效果研究</w:t>
      </w:r>
    </w:p>
    <w:p w14:paraId="211D70E2">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施用秸秆堆腐肥后，试验区土壤微生物活性得到明显改善，与化肥处理相比，微生物细菌数量提高了80%左右、放线菌数量提高了40%-79%，土壤过氧化氢酶活性提高了34%-41%、蔗糖酶活性提高了27%-31%、碱性磷酸酶活性提高了18%-28%。</w:t>
      </w:r>
    </w:p>
    <w:p w14:paraId="3E0BDE89">
      <w:pPr>
        <w:adjustRightInd w:val="0"/>
        <w:snapToGrid w:val="0"/>
        <w:spacing w:line="360" w:lineRule="auto"/>
        <w:rPr>
          <w:rFonts w:ascii="仿宋" w:hAnsi="仿宋" w:eastAsia="仿宋"/>
          <w:sz w:val="28"/>
          <w:szCs w:val="28"/>
        </w:rPr>
      </w:pPr>
      <w:r>
        <w:rPr>
          <w:rFonts w:ascii="仿宋" w:hAnsi="仿宋" w:eastAsia="仿宋"/>
          <w:sz w:val="28"/>
          <w:szCs w:val="28"/>
        </w:rPr>
        <w:drawing>
          <wp:inline distT="0" distB="0" distL="114300" distR="114300">
            <wp:extent cx="2585085" cy="1999615"/>
            <wp:effectExtent l="0" t="0" r="5715" b="635"/>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16"/>
                    <a:stretch>
                      <a:fillRect/>
                    </a:stretch>
                  </pic:blipFill>
                  <pic:spPr>
                    <a:xfrm>
                      <a:off x="0" y="0"/>
                      <a:ext cx="2585085" cy="1999615"/>
                    </a:xfrm>
                    <a:prstGeom prst="rect">
                      <a:avLst/>
                    </a:prstGeom>
                    <a:noFill/>
                    <a:ln>
                      <a:noFill/>
                    </a:ln>
                  </pic:spPr>
                </pic:pic>
              </a:graphicData>
            </a:graphic>
          </wp:inline>
        </w:drawing>
      </w:r>
      <w:r>
        <w:rPr>
          <w:rFonts w:ascii="仿宋" w:hAnsi="仿宋" w:eastAsia="仿宋"/>
          <w:sz w:val="28"/>
          <w:szCs w:val="28"/>
        </w:rPr>
        <w:drawing>
          <wp:inline distT="0" distB="0" distL="114300" distR="114300">
            <wp:extent cx="2578735" cy="2005965"/>
            <wp:effectExtent l="0" t="0" r="12065" b="1333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pic:cNvPicPr>
                  </pic:nvPicPr>
                  <pic:blipFill>
                    <a:blip r:embed="rId17"/>
                    <a:stretch>
                      <a:fillRect/>
                    </a:stretch>
                  </pic:blipFill>
                  <pic:spPr>
                    <a:xfrm>
                      <a:off x="0" y="0"/>
                      <a:ext cx="2578735" cy="2005965"/>
                    </a:xfrm>
                    <a:prstGeom prst="rect">
                      <a:avLst/>
                    </a:prstGeom>
                    <a:noFill/>
                    <a:ln>
                      <a:noFill/>
                    </a:ln>
                  </pic:spPr>
                </pic:pic>
              </a:graphicData>
            </a:graphic>
          </wp:inline>
        </w:drawing>
      </w:r>
      <w:r>
        <w:rPr>
          <w:rFonts w:ascii="仿宋" w:hAnsi="仿宋" w:eastAsia="仿宋"/>
          <w:sz w:val="28"/>
          <w:szCs w:val="28"/>
        </w:rPr>
        <w:drawing>
          <wp:inline distT="0" distB="0" distL="114300" distR="114300">
            <wp:extent cx="2578735" cy="1999615"/>
            <wp:effectExtent l="0" t="0" r="12065" b="63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8"/>
                    <a:stretch>
                      <a:fillRect/>
                    </a:stretch>
                  </pic:blipFill>
                  <pic:spPr>
                    <a:xfrm>
                      <a:off x="0" y="0"/>
                      <a:ext cx="2578735" cy="1999615"/>
                    </a:xfrm>
                    <a:prstGeom prst="rect">
                      <a:avLst/>
                    </a:prstGeom>
                    <a:noFill/>
                    <a:ln>
                      <a:noFill/>
                    </a:ln>
                  </pic:spPr>
                </pic:pic>
              </a:graphicData>
            </a:graphic>
          </wp:inline>
        </w:drawing>
      </w:r>
    </w:p>
    <w:p w14:paraId="085D18BA">
      <w:pPr>
        <w:adjustRightInd w:val="0"/>
        <w:snapToGrid w:val="0"/>
        <w:spacing w:line="360" w:lineRule="auto"/>
        <w:ind w:firstLine="560" w:firstLineChars="200"/>
        <w:jc w:val="center"/>
        <w:rPr>
          <w:rFonts w:ascii="仿宋" w:hAnsi="仿宋" w:eastAsia="仿宋"/>
          <w:sz w:val="28"/>
          <w:szCs w:val="28"/>
        </w:rPr>
      </w:pPr>
      <w:r>
        <w:rPr>
          <w:rFonts w:ascii="仿宋" w:hAnsi="仿宋" w:eastAsia="仿宋"/>
          <w:sz w:val="28"/>
          <w:szCs w:val="28"/>
        </w:rPr>
        <w:t>图4 示范区土壤微生物数量</w:t>
      </w:r>
    </w:p>
    <w:p w14:paraId="0ADCA1F3">
      <w:pPr>
        <w:adjustRightInd w:val="0"/>
        <w:snapToGrid w:val="0"/>
        <w:spacing w:line="360" w:lineRule="auto"/>
        <w:rPr>
          <w:rFonts w:ascii="仿宋" w:hAnsi="仿宋" w:eastAsia="仿宋"/>
          <w:sz w:val="28"/>
          <w:szCs w:val="28"/>
        </w:rPr>
      </w:pPr>
      <w:r>
        <w:rPr>
          <w:rFonts w:ascii="仿宋" w:hAnsi="仿宋" w:eastAsia="仿宋"/>
          <w:sz w:val="28"/>
          <w:szCs w:val="28"/>
        </w:rPr>
        <w:drawing>
          <wp:inline distT="0" distB="0" distL="114300" distR="114300">
            <wp:extent cx="2578735" cy="2078990"/>
            <wp:effectExtent l="0" t="0" r="12065" b="1651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9"/>
                    <a:stretch>
                      <a:fillRect/>
                    </a:stretch>
                  </pic:blipFill>
                  <pic:spPr>
                    <a:xfrm>
                      <a:off x="0" y="0"/>
                      <a:ext cx="2578735" cy="2078990"/>
                    </a:xfrm>
                    <a:prstGeom prst="rect">
                      <a:avLst/>
                    </a:prstGeom>
                    <a:noFill/>
                    <a:ln>
                      <a:noFill/>
                    </a:ln>
                  </pic:spPr>
                </pic:pic>
              </a:graphicData>
            </a:graphic>
          </wp:inline>
        </w:drawing>
      </w:r>
      <w:r>
        <w:rPr>
          <w:rFonts w:ascii="仿宋" w:hAnsi="仿宋" w:eastAsia="仿宋"/>
          <w:sz w:val="28"/>
          <w:szCs w:val="28"/>
        </w:rPr>
        <w:drawing>
          <wp:inline distT="0" distB="0" distL="114300" distR="114300">
            <wp:extent cx="2578735" cy="2078990"/>
            <wp:effectExtent l="0" t="0" r="12065" b="1651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20"/>
                    <a:stretch>
                      <a:fillRect/>
                    </a:stretch>
                  </pic:blipFill>
                  <pic:spPr>
                    <a:xfrm>
                      <a:off x="0" y="0"/>
                      <a:ext cx="2578735" cy="2078990"/>
                    </a:xfrm>
                    <a:prstGeom prst="rect">
                      <a:avLst/>
                    </a:prstGeom>
                    <a:noFill/>
                    <a:ln>
                      <a:noFill/>
                    </a:ln>
                  </pic:spPr>
                </pic:pic>
              </a:graphicData>
            </a:graphic>
          </wp:inline>
        </w:drawing>
      </w:r>
    </w:p>
    <w:p w14:paraId="607A653C">
      <w:pPr>
        <w:adjustRightInd w:val="0"/>
        <w:snapToGrid w:val="0"/>
        <w:spacing w:line="360" w:lineRule="auto"/>
        <w:rPr>
          <w:rFonts w:ascii="仿宋" w:hAnsi="仿宋" w:eastAsia="仿宋"/>
          <w:sz w:val="28"/>
          <w:szCs w:val="28"/>
        </w:rPr>
      </w:pPr>
      <w:r>
        <w:rPr>
          <w:rFonts w:ascii="仿宋" w:hAnsi="仿宋" w:eastAsia="仿宋"/>
          <w:sz w:val="28"/>
          <w:szCs w:val="28"/>
        </w:rPr>
        <w:drawing>
          <wp:inline distT="0" distB="0" distL="114300" distR="114300">
            <wp:extent cx="2578735" cy="2078990"/>
            <wp:effectExtent l="0" t="0" r="12065" b="1651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21"/>
                    <a:stretch>
                      <a:fillRect/>
                    </a:stretch>
                  </pic:blipFill>
                  <pic:spPr>
                    <a:xfrm>
                      <a:off x="0" y="0"/>
                      <a:ext cx="2578735" cy="2078990"/>
                    </a:xfrm>
                    <a:prstGeom prst="rect">
                      <a:avLst/>
                    </a:prstGeom>
                    <a:noFill/>
                    <a:ln>
                      <a:noFill/>
                    </a:ln>
                  </pic:spPr>
                </pic:pic>
              </a:graphicData>
            </a:graphic>
          </wp:inline>
        </w:drawing>
      </w:r>
      <w:r>
        <w:rPr>
          <w:rFonts w:ascii="仿宋" w:hAnsi="仿宋" w:eastAsia="仿宋"/>
          <w:sz w:val="28"/>
          <w:szCs w:val="28"/>
        </w:rPr>
        <w:drawing>
          <wp:inline distT="0" distB="0" distL="114300" distR="114300">
            <wp:extent cx="2578735" cy="2078990"/>
            <wp:effectExtent l="0" t="0" r="12065" b="16510"/>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5"/>
                    <pic:cNvPicPr>
                      <a:picLocks noChangeAspect="1"/>
                    </pic:cNvPicPr>
                  </pic:nvPicPr>
                  <pic:blipFill>
                    <a:blip r:embed="rId22"/>
                    <a:stretch>
                      <a:fillRect/>
                    </a:stretch>
                  </pic:blipFill>
                  <pic:spPr>
                    <a:xfrm>
                      <a:off x="0" y="0"/>
                      <a:ext cx="2578735" cy="2078990"/>
                    </a:xfrm>
                    <a:prstGeom prst="rect">
                      <a:avLst/>
                    </a:prstGeom>
                    <a:noFill/>
                    <a:ln>
                      <a:noFill/>
                    </a:ln>
                  </pic:spPr>
                </pic:pic>
              </a:graphicData>
            </a:graphic>
          </wp:inline>
        </w:drawing>
      </w:r>
    </w:p>
    <w:p w14:paraId="676764E8">
      <w:pPr>
        <w:adjustRightInd w:val="0"/>
        <w:snapToGrid w:val="0"/>
        <w:spacing w:line="360" w:lineRule="auto"/>
        <w:ind w:firstLine="560" w:firstLineChars="200"/>
        <w:jc w:val="center"/>
        <w:rPr>
          <w:rFonts w:ascii="仿宋" w:hAnsi="仿宋" w:eastAsia="仿宋"/>
          <w:sz w:val="28"/>
          <w:szCs w:val="28"/>
        </w:rPr>
      </w:pPr>
      <w:r>
        <w:rPr>
          <w:rFonts w:ascii="仿宋" w:hAnsi="仿宋" w:eastAsia="仿宋"/>
          <w:sz w:val="28"/>
          <w:szCs w:val="28"/>
        </w:rPr>
        <w:t>图5 示范区土壤酶活性</w:t>
      </w:r>
    </w:p>
    <w:p w14:paraId="67DCEC0B">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（3）生产力提升效果研究</w:t>
      </w:r>
    </w:p>
    <w:p w14:paraId="00113CED">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施用秸秆堆腐肥后，试验区产量大幅度提升，与化肥处理相比，化肥与堆腐肥相结合，试验区玉米产量较化肥（F）显著提升，提高幅度达58%-64%。</w:t>
      </w:r>
    </w:p>
    <w:p w14:paraId="6251A2A1">
      <w:pPr>
        <w:adjustRightInd w:val="0"/>
        <w:snapToGrid w:val="0"/>
        <w:spacing w:line="360" w:lineRule="auto"/>
        <w:jc w:val="center"/>
        <w:rPr>
          <w:rFonts w:ascii="仿宋" w:hAnsi="仿宋" w:eastAsia="仿宋"/>
          <w:sz w:val="28"/>
          <w:szCs w:val="28"/>
        </w:rPr>
      </w:pPr>
      <w:r>
        <w:rPr>
          <w:rFonts w:ascii="仿宋" w:hAnsi="仿宋" w:eastAsia="仿宋"/>
          <w:sz w:val="28"/>
          <w:szCs w:val="28"/>
        </w:rPr>
        <w:drawing>
          <wp:inline distT="0" distB="0" distL="114300" distR="114300">
            <wp:extent cx="3373120" cy="2326640"/>
            <wp:effectExtent l="0" t="0" r="17780" b="1651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23"/>
                    <a:stretch>
                      <a:fillRect/>
                    </a:stretch>
                  </pic:blipFill>
                  <pic:spPr>
                    <a:xfrm>
                      <a:off x="0" y="0"/>
                      <a:ext cx="3373120" cy="2326640"/>
                    </a:xfrm>
                    <a:prstGeom prst="rect">
                      <a:avLst/>
                    </a:prstGeom>
                    <a:noFill/>
                    <a:ln>
                      <a:noFill/>
                    </a:ln>
                  </pic:spPr>
                </pic:pic>
              </a:graphicData>
            </a:graphic>
          </wp:inline>
        </w:drawing>
      </w:r>
    </w:p>
    <w:p w14:paraId="01ADF371">
      <w:pPr>
        <w:adjustRightInd w:val="0"/>
        <w:snapToGrid w:val="0"/>
        <w:spacing w:line="360" w:lineRule="auto"/>
        <w:ind w:firstLine="560" w:firstLineChars="200"/>
        <w:jc w:val="center"/>
        <w:rPr>
          <w:rFonts w:hint="eastAsia" w:ascii="宋体" w:hAnsi="宋体"/>
          <w:b/>
          <w:sz w:val="32"/>
          <w:szCs w:val="32"/>
          <w:lang w:eastAsia="zh-CN"/>
        </w:rPr>
      </w:pPr>
      <w:r>
        <w:rPr>
          <w:rFonts w:ascii="仿宋" w:hAnsi="仿宋" w:eastAsia="仿宋"/>
          <w:sz w:val="28"/>
          <w:szCs w:val="28"/>
        </w:rPr>
        <w:t>图6 示范区作物产量</w:t>
      </w:r>
    </w:p>
    <w:p w14:paraId="46F44FD8">
      <w:pPr>
        <w:pStyle w:val="3"/>
        <w:spacing w:line="360" w:lineRule="auto"/>
        <w:ind w:left="641" w:firstLine="0" w:firstLineChars="0"/>
        <w:rPr>
          <w:rFonts w:hint="eastAsia" w:ascii="宋体" w:hAnsi="宋体"/>
          <w:b/>
          <w:sz w:val="32"/>
          <w:szCs w:val="32"/>
          <w:lang w:eastAsia="zh-CN"/>
        </w:rPr>
      </w:pPr>
      <w:r>
        <w:rPr>
          <w:rFonts w:hint="eastAsia" w:ascii="宋体" w:hAnsi="宋体"/>
          <w:b/>
          <w:sz w:val="32"/>
          <w:szCs w:val="32"/>
        </w:rPr>
        <w:t>六、</w:t>
      </w:r>
      <w:r>
        <w:rPr>
          <w:rFonts w:hint="eastAsia" w:ascii="宋体" w:hAnsi="宋体"/>
          <w:b/>
          <w:sz w:val="32"/>
          <w:szCs w:val="32"/>
          <w:lang w:eastAsia="zh-CN"/>
        </w:rPr>
        <w:t>重大意见分歧的处理依据和结果</w:t>
      </w:r>
    </w:p>
    <w:p w14:paraId="2B573673">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lang w:eastAsia="zh-CN"/>
        </w:rPr>
        <w:t>（</w:t>
      </w:r>
      <w:r>
        <w:rPr>
          <w:rFonts w:hint="eastAsia" w:ascii="仿宋" w:hAnsi="仿宋" w:eastAsia="仿宋" w:cs="仿宋_GB2312"/>
          <w:sz w:val="28"/>
          <w:szCs w:val="28"/>
        </w:rPr>
        <w:t>征求意见情况</w:t>
      </w:r>
      <w:r>
        <w:rPr>
          <w:rFonts w:hint="eastAsia" w:ascii="仿宋" w:hAnsi="仿宋" w:eastAsia="仿宋" w:cs="仿宋_GB2312"/>
          <w:sz w:val="28"/>
          <w:szCs w:val="28"/>
          <w:lang w:eastAsia="zh-CN"/>
        </w:rPr>
        <w:t>见附表）</w:t>
      </w:r>
    </w:p>
    <w:p w14:paraId="6B81C6AA">
      <w:pPr>
        <w:pStyle w:val="3"/>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rPr>
        <w:t>七、作为推荐性标准的建议</w:t>
      </w:r>
      <w:r>
        <w:rPr>
          <w:rFonts w:hint="eastAsia" w:ascii="宋体" w:hAnsi="宋体"/>
          <w:b/>
          <w:sz w:val="32"/>
          <w:szCs w:val="32"/>
          <w:lang w:eastAsia="zh-CN"/>
        </w:rPr>
        <w:t>及其理由</w:t>
      </w:r>
    </w:p>
    <w:p w14:paraId="4C240A99">
      <w:pPr>
        <w:adjustRightInd w:val="0"/>
        <w:snapToGrid w:val="0"/>
        <w:spacing w:before="156" w:beforeLines="50" w:line="360" w:lineRule="auto"/>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建议本标准为推荐性标准。</w:t>
      </w:r>
    </w:p>
    <w:p w14:paraId="706335A4">
      <w:pPr>
        <w:pStyle w:val="3"/>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rPr>
        <w:t>八、</w:t>
      </w:r>
      <w:r>
        <w:rPr>
          <w:rFonts w:hint="eastAsia" w:ascii="宋体" w:hAnsi="宋体"/>
          <w:b/>
          <w:sz w:val="32"/>
          <w:szCs w:val="32"/>
          <w:lang w:eastAsia="zh-CN"/>
        </w:rPr>
        <w:t>标准实施的</w:t>
      </w:r>
      <w:r>
        <w:rPr>
          <w:rFonts w:hint="eastAsia" w:ascii="宋体" w:hAnsi="宋体"/>
          <w:b/>
          <w:sz w:val="32"/>
          <w:szCs w:val="32"/>
        </w:rPr>
        <w:t>措施</w:t>
      </w:r>
      <w:r>
        <w:rPr>
          <w:rFonts w:hint="eastAsia" w:ascii="宋体" w:hAnsi="宋体"/>
          <w:b/>
          <w:sz w:val="32"/>
          <w:szCs w:val="32"/>
          <w:lang w:eastAsia="zh-CN"/>
        </w:rPr>
        <w:t>建议</w:t>
      </w:r>
    </w:p>
    <w:p w14:paraId="5258EF7A">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1、协调行政主管部门在山西省矿区复垦地开展宣传推广工作。通过现场会、培训会、实地指导、发放技术手册等形式在农村中进行宣传和普及。</w:t>
      </w:r>
    </w:p>
    <w:p w14:paraId="5AB3D460">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2、加强通过电视、广播、网络、报刊等媒体进行大力宣传。</w:t>
      </w:r>
    </w:p>
    <w:p w14:paraId="4BF84B25">
      <w:pPr>
        <w:keepNext w:val="0"/>
        <w:keepLines w:val="0"/>
        <w:pageBreakBefore w:val="0"/>
        <w:widowControl w:val="0"/>
        <w:kinsoku/>
        <w:wordWrap/>
        <w:overflowPunct/>
        <w:topLinePunct w:val="0"/>
        <w:autoSpaceDE/>
        <w:autoSpaceDN/>
        <w:bidi w:val="0"/>
        <w:adjustRightInd w:val="0"/>
        <w:snapToGrid/>
        <w:spacing w:line="360" w:lineRule="auto"/>
        <w:ind w:firstLine="560" w:firstLineChars="200"/>
        <w:textAlignment w:val="auto"/>
        <w:rPr>
          <w:rFonts w:hint="eastAsia" w:ascii="宋体" w:hAnsi="宋体"/>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8"/>
          <w:szCs w:val="28"/>
        </w:rPr>
        <w:t>3、建议在实施标准的过程中对所发现的问题应及时反馈，以利于标准的修订和完善。</w:t>
      </w:r>
    </w:p>
    <w:p w14:paraId="22725D8C">
      <w:pPr>
        <w:widowControl/>
        <w:jc w:val="left"/>
        <w:rPr>
          <w:rFonts w:hint="eastAsia" w:ascii="宋体" w:hAnsi="宋体" w:eastAsia="宋体"/>
          <w:b/>
          <w:sz w:val="32"/>
          <w:szCs w:val="32"/>
          <w:lang w:eastAsia="zh-CN"/>
        </w:rPr>
      </w:pPr>
      <w:r>
        <w:rPr>
          <w:rFonts w:hint="eastAsia" w:ascii="宋体" w:hAnsi="宋体"/>
          <w:sz w:val="32"/>
          <w:szCs w:val="32"/>
        </w:rPr>
        <w:t>附表</w:t>
      </w:r>
      <w:r>
        <w:rPr>
          <w:rFonts w:hint="eastAsia" w:ascii="宋体" w:hAnsi="宋体"/>
          <w:sz w:val="32"/>
          <w:szCs w:val="32"/>
          <w:lang w:eastAsia="zh-CN"/>
        </w:rPr>
        <w:t>：</w:t>
      </w:r>
    </w:p>
    <w:p w14:paraId="75ED433C">
      <w:pPr>
        <w:pStyle w:val="3"/>
        <w:spacing w:line="360" w:lineRule="auto"/>
        <w:ind w:firstLine="723"/>
        <w:jc w:val="center"/>
        <w:rPr>
          <w:rFonts w:ascii="宋体" w:hAnsi="宋体"/>
          <w:b/>
          <w:sz w:val="36"/>
          <w:szCs w:val="36"/>
        </w:rPr>
      </w:pPr>
      <w:r>
        <w:rPr>
          <w:rFonts w:hint="eastAsia" w:ascii="宋体" w:hAnsi="宋体"/>
          <w:b/>
          <w:color w:val="000000"/>
          <w:sz w:val="36"/>
          <w:szCs w:val="36"/>
          <w:lang w:eastAsia="zh-CN"/>
        </w:rPr>
        <w:t>《休闲期玉米秸秆原位堆腐还田技术规程》</w:t>
      </w:r>
      <w:r>
        <w:rPr>
          <w:rFonts w:hint="eastAsia" w:ascii="宋体" w:hAnsi="宋体"/>
          <w:b/>
          <w:color w:val="000000"/>
          <w:sz w:val="36"/>
          <w:szCs w:val="36"/>
        </w:rPr>
        <w:t>征求意见汇总处理</w:t>
      </w:r>
      <w:r>
        <w:rPr>
          <w:rFonts w:hint="eastAsia" w:ascii="宋体" w:hAnsi="宋体"/>
          <w:b/>
          <w:sz w:val="36"/>
          <w:szCs w:val="36"/>
        </w:rPr>
        <w:t>表</w:t>
      </w:r>
    </w:p>
    <w:p w14:paraId="36B59943">
      <w:pPr>
        <w:spacing w:line="320" w:lineRule="exact"/>
        <w:jc w:val="center"/>
        <w:rPr>
          <w:rFonts w:ascii="仿宋_GB2312" w:eastAsia="仿宋_GB2312"/>
          <w:sz w:val="24"/>
        </w:rPr>
      </w:pPr>
      <w:r>
        <w:rPr>
          <w:rFonts w:hint="eastAsia" w:ascii="华文仿宋" w:hAnsi="华文仿宋" w:eastAsia="华文仿宋"/>
          <w:b/>
          <w:szCs w:val="21"/>
        </w:rPr>
        <w:t xml:space="preserve">起草单位：山西农业大学   </w:t>
      </w:r>
      <w:r>
        <w:rPr>
          <w:rFonts w:hint="eastAsia" w:ascii="华文仿宋" w:hAnsi="华文仿宋" w:eastAsia="华文仿宋"/>
          <w:b/>
          <w:szCs w:val="21"/>
          <w:lang w:val="en-US" w:eastAsia="zh-CN"/>
        </w:rPr>
        <w:t xml:space="preserve">     </w:t>
      </w:r>
      <w:r>
        <w:rPr>
          <w:rFonts w:hint="eastAsia" w:ascii="华文仿宋" w:hAnsi="华文仿宋" w:eastAsia="华文仿宋"/>
          <w:b/>
          <w:szCs w:val="21"/>
        </w:rPr>
        <w:t xml:space="preserve">   承办人：</w:t>
      </w:r>
      <w:r>
        <w:rPr>
          <w:rFonts w:hint="eastAsia" w:ascii="宋体" w:hAnsi="宋体" w:eastAsia="华文仿宋" w:cs="宋体"/>
          <w:b/>
          <w:szCs w:val="21"/>
          <w:lang w:val="en-US" w:eastAsia="zh-CN"/>
        </w:rPr>
        <w:t>李建华</w:t>
      </w:r>
      <w:r>
        <w:rPr>
          <w:rFonts w:hint="eastAsia" w:ascii="华文仿宋" w:hAnsi="华文仿宋" w:eastAsia="华文仿宋"/>
          <w:b/>
          <w:szCs w:val="21"/>
        </w:rPr>
        <w:t xml:space="preserve">       联系电话：</w:t>
      </w:r>
      <w:r>
        <w:rPr>
          <w:rFonts w:hint="eastAsia" w:ascii="华文仿宋" w:hAnsi="华文仿宋" w:eastAsia="华文仿宋"/>
          <w:b/>
          <w:szCs w:val="21"/>
          <w:lang w:val="en-US" w:eastAsia="zh-CN"/>
        </w:rPr>
        <w:t>13453144587</w:t>
      </w:r>
      <w:r>
        <w:rPr>
          <w:rFonts w:hint="eastAsia" w:ascii="华文仿宋" w:hAnsi="华文仿宋" w:eastAsia="华文仿宋"/>
          <w:b/>
          <w:szCs w:val="21"/>
        </w:rPr>
        <w:t xml:space="preserve">            填写时间202</w:t>
      </w:r>
      <w:r>
        <w:rPr>
          <w:rFonts w:hint="eastAsia" w:ascii="华文仿宋" w:hAnsi="华文仿宋" w:eastAsia="华文仿宋"/>
          <w:b/>
          <w:szCs w:val="21"/>
          <w:lang w:val="en-US" w:eastAsia="zh-CN"/>
        </w:rPr>
        <w:t>4</w:t>
      </w:r>
      <w:r>
        <w:rPr>
          <w:rFonts w:hint="eastAsia" w:ascii="华文仿宋" w:hAnsi="华文仿宋" w:eastAsia="华文仿宋"/>
          <w:b/>
          <w:szCs w:val="21"/>
        </w:rPr>
        <w:t>年1</w:t>
      </w:r>
      <w:r>
        <w:rPr>
          <w:rFonts w:hint="eastAsia" w:ascii="华文仿宋" w:hAnsi="华文仿宋" w:eastAsia="华文仿宋"/>
          <w:b/>
          <w:szCs w:val="21"/>
          <w:lang w:val="en-US" w:eastAsia="zh-CN"/>
        </w:rPr>
        <w:t>0</w:t>
      </w:r>
      <w:r>
        <w:rPr>
          <w:rFonts w:hint="eastAsia" w:ascii="华文仿宋" w:hAnsi="华文仿宋" w:eastAsia="华文仿宋"/>
          <w:b/>
          <w:szCs w:val="21"/>
        </w:rPr>
        <w:t>月</w:t>
      </w:r>
      <w:r>
        <w:rPr>
          <w:rFonts w:hint="eastAsia" w:ascii="华文仿宋" w:hAnsi="华文仿宋" w:eastAsia="华文仿宋"/>
          <w:b/>
          <w:szCs w:val="21"/>
          <w:lang w:val="en-US" w:eastAsia="zh-CN"/>
        </w:rPr>
        <w:t>20</w:t>
      </w:r>
      <w:r>
        <w:rPr>
          <w:rFonts w:hint="eastAsia" w:ascii="华文仿宋" w:hAnsi="华文仿宋" w:eastAsia="华文仿宋"/>
          <w:b/>
          <w:szCs w:val="21"/>
        </w:rPr>
        <w:t>日</w:t>
      </w:r>
    </w:p>
    <w:tbl>
      <w:tblPr>
        <w:tblStyle w:val="6"/>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2036"/>
        <w:gridCol w:w="5362"/>
        <w:gridCol w:w="2730"/>
        <w:gridCol w:w="1782"/>
        <w:gridCol w:w="2127"/>
      </w:tblGrid>
      <w:tr w14:paraId="45B5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72" w:type="dxa"/>
            <w:vAlign w:val="center"/>
          </w:tcPr>
          <w:p w14:paraId="597B1C83">
            <w:pPr>
              <w:jc w:val="center"/>
              <w:rPr>
                <w:rFonts w:hint="eastAsia" w:ascii="宋体" w:hAnsi="宋体" w:eastAsia="宋体" w:cs="宋体"/>
                <w:b/>
                <w:szCs w:val="21"/>
              </w:rPr>
            </w:pPr>
            <w:r>
              <w:rPr>
                <w:rFonts w:hint="eastAsia" w:ascii="宋体" w:hAnsi="宋体" w:eastAsia="宋体" w:cs="宋体"/>
                <w:b/>
                <w:szCs w:val="21"/>
              </w:rPr>
              <w:t>序号</w:t>
            </w:r>
          </w:p>
        </w:tc>
        <w:tc>
          <w:tcPr>
            <w:tcW w:w="2036" w:type="dxa"/>
            <w:vAlign w:val="center"/>
          </w:tcPr>
          <w:p w14:paraId="017E06FF">
            <w:pPr>
              <w:spacing w:line="240" w:lineRule="exact"/>
              <w:rPr>
                <w:rFonts w:hint="eastAsia" w:ascii="宋体" w:hAnsi="宋体" w:eastAsia="宋体" w:cs="宋体"/>
                <w:b/>
                <w:szCs w:val="21"/>
              </w:rPr>
            </w:pPr>
            <w:r>
              <w:rPr>
                <w:rFonts w:hint="eastAsia" w:ascii="宋体" w:hAnsi="宋体" w:eastAsia="宋体" w:cs="宋体"/>
                <w:b/>
                <w:szCs w:val="21"/>
              </w:rPr>
              <w:t>标准章条编号</w:t>
            </w:r>
          </w:p>
        </w:tc>
        <w:tc>
          <w:tcPr>
            <w:tcW w:w="5362" w:type="dxa"/>
            <w:vAlign w:val="center"/>
          </w:tcPr>
          <w:p w14:paraId="3F8B9069">
            <w:pPr>
              <w:spacing w:line="240" w:lineRule="exact"/>
              <w:jc w:val="center"/>
              <w:rPr>
                <w:rFonts w:hint="eastAsia" w:ascii="宋体" w:hAnsi="宋体" w:eastAsia="宋体" w:cs="宋体"/>
                <w:b/>
                <w:szCs w:val="21"/>
              </w:rPr>
            </w:pPr>
            <w:r>
              <w:rPr>
                <w:rFonts w:hint="eastAsia" w:ascii="宋体" w:hAnsi="宋体" w:eastAsia="宋体" w:cs="宋体"/>
                <w:b/>
                <w:szCs w:val="21"/>
              </w:rPr>
              <w:t>意见内容</w:t>
            </w:r>
          </w:p>
        </w:tc>
        <w:tc>
          <w:tcPr>
            <w:tcW w:w="2730" w:type="dxa"/>
            <w:vAlign w:val="center"/>
          </w:tcPr>
          <w:p w14:paraId="05DCEAF0">
            <w:pPr>
              <w:jc w:val="center"/>
              <w:rPr>
                <w:rFonts w:hint="eastAsia" w:ascii="宋体" w:hAnsi="宋体" w:eastAsia="宋体" w:cs="宋体"/>
                <w:b/>
                <w:szCs w:val="21"/>
              </w:rPr>
            </w:pPr>
            <w:r>
              <w:rPr>
                <w:rFonts w:hint="eastAsia" w:ascii="宋体" w:hAnsi="宋体" w:eastAsia="宋体" w:cs="宋体"/>
                <w:b/>
                <w:szCs w:val="21"/>
              </w:rPr>
              <w:t>提出单位</w:t>
            </w:r>
          </w:p>
          <w:p w14:paraId="378DF425">
            <w:pPr>
              <w:jc w:val="center"/>
              <w:rPr>
                <w:rFonts w:hint="eastAsia" w:ascii="宋体" w:hAnsi="宋体" w:eastAsia="宋体" w:cs="宋体"/>
                <w:b/>
                <w:szCs w:val="21"/>
                <w:lang w:eastAsia="zh-CN"/>
              </w:rPr>
            </w:pPr>
            <w:r>
              <w:rPr>
                <w:rFonts w:hint="eastAsia" w:ascii="宋体" w:hAnsi="宋体" w:cs="宋体"/>
                <w:b/>
                <w:szCs w:val="21"/>
                <w:lang w:eastAsia="zh-CN"/>
              </w:rPr>
              <w:t>（</w:t>
            </w:r>
            <w:r>
              <w:rPr>
                <w:rFonts w:hint="eastAsia" w:ascii="宋体" w:hAnsi="宋体" w:cs="宋体"/>
                <w:b/>
                <w:szCs w:val="21"/>
                <w:lang w:val="en-US" w:eastAsia="zh-CN"/>
              </w:rPr>
              <w:t>或个人</w:t>
            </w:r>
            <w:r>
              <w:rPr>
                <w:rFonts w:hint="eastAsia" w:ascii="宋体" w:hAnsi="宋体" w:cs="宋体"/>
                <w:b/>
                <w:szCs w:val="21"/>
                <w:lang w:eastAsia="zh-CN"/>
              </w:rPr>
              <w:t>）</w:t>
            </w:r>
          </w:p>
        </w:tc>
        <w:tc>
          <w:tcPr>
            <w:tcW w:w="1782" w:type="dxa"/>
            <w:vAlign w:val="center"/>
          </w:tcPr>
          <w:p w14:paraId="466EE364">
            <w:pPr>
              <w:jc w:val="center"/>
              <w:rPr>
                <w:rFonts w:hint="eastAsia" w:ascii="宋体" w:hAnsi="宋体" w:eastAsia="宋体" w:cs="宋体"/>
                <w:b/>
                <w:szCs w:val="21"/>
              </w:rPr>
            </w:pPr>
            <w:r>
              <w:rPr>
                <w:rFonts w:hint="eastAsia" w:ascii="宋体" w:hAnsi="宋体" w:eastAsia="宋体" w:cs="宋体"/>
                <w:b/>
                <w:szCs w:val="21"/>
              </w:rPr>
              <w:t>处理意见</w:t>
            </w:r>
          </w:p>
          <w:p w14:paraId="74540E2B">
            <w:pPr>
              <w:jc w:val="center"/>
              <w:rPr>
                <w:rFonts w:hint="eastAsia" w:ascii="宋体" w:hAnsi="宋体" w:eastAsia="宋体" w:cs="宋体"/>
                <w:b/>
                <w:szCs w:val="21"/>
              </w:rPr>
            </w:pPr>
            <w:r>
              <w:rPr>
                <w:rFonts w:hint="eastAsia" w:ascii="宋体" w:hAnsi="宋体" w:eastAsia="宋体" w:cs="宋体"/>
                <w:b/>
                <w:szCs w:val="21"/>
              </w:rPr>
              <w:t>（采纳/不采纳）</w:t>
            </w:r>
          </w:p>
        </w:tc>
        <w:tc>
          <w:tcPr>
            <w:tcW w:w="2127" w:type="dxa"/>
            <w:vAlign w:val="center"/>
          </w:tcPr>
          <w:p w14:paraId="266715EC">
            <w:pPr>
              <w:jc w:val="center"/>
              <w:rPr>
                <w:rFonts w:hint="eastAsia" w:ascii="宋体" w:hAnsi="宋体" w:eastAsia="宋体" w:cs="宋体"/>
                <w:b/>
                <w:szCs w:val="21"/>
              </w:rPr>
            </w:pPr>
            <w:r>
              <w:rPr>
                <w:rFonts w:hint="eastAsia" w:ascii="宋体" w:hAnsi="宋体" w:eastAsia="宋体" w:cs="宋体"/>
                <w:b/>
                <w:szCs w:val="21"/>
              </w:rPr>
              <w:t>意见处理说明</w:t>
            </w:r>
          </w:p>
          <w:p w14:paraId="5B14055E">
            <w:pPr>
              <w:jc w:val="center"/>
              <w:rPr>
                <w:rFonts w:hint="eastAsia" w:ascii="宋体" w:hAnsi="宋体" w:eastAsia="宋体" w:cs="宋体"/>
                <w:b/>
                <w:szCs w:val="21"/>
              </w:rPr>
            </w:pPr>
            <w:r>
              <w:rPr>
                <w:rFonts w:hint="eastAsia" w:ascii="宋体" w:hAnsi="宋体" w:eastAsia="宋体" w:cs="宋体"/>
                <w:b/>
                <w:szCs w:val="21"/>
              </w:rPr>
              <w:t>（不采纳的理由等）</w:t>
            </w:r>
          </w:p>
        </w:tc>
      </w:tr>
      <w:tr w14:paraId="0CCC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72" w:type="dxa"/>
            <w:vAlign w:val="center"/>
          </w:tcPr>
          <w:p w14:paraId="1E0384D1">
            <w:pPr>
              <w:jc w:val="center"/>
              <w:rPr>
                <w:rFonts w:ascii="华文仿宋" w:hAnsi="华文仿宋" w:eastAsia="华文仿宋"/>
                <w:szCs w:val="21"/>
              </w:rPr>
            </w:pPr>
            <w:r>
              <w:rPr>
                <w:rFonts w:hint="eastAsia" w:ascii="华文仿宋" w:hAnsi="华文仿宋" w:eastAsia="华文仿宋"/>
                <w:szCs w:val="21"/>
              </w:rPr>
              <w:t>1</w:t>
            </w:r>
          </w:p>
        </w:tc>
        <w:tc>
          <w:tcPr>
            <w:tcW w:w="2036" w:type="dxa"/>
            <w:vAlign w:val="center"/>
          </w:tcPr>
          <w:p w14:paraId="4516D61B">
            <w:pPr>
              <w:spacing w:line="320" w:lineRule="exact"/>
              <w:rPr>
                <w:rFonts w:ascii="华文仿宋" w:hAnsi="华文仿宋" w:eastAsia="华文仿宋"/>
                <w:szCs w:val="21"/>
              </w:rPr>
            </w:pPr>
            <w:r>
              <w:rPr>
                <w:rFonts w:hint="eastAsia" w:ascii="华文仿宋" w:hAnsi="华文仿宋" w:eastAsia="华文仿宋"/>
                <w:szCs w:val="21"/>
              </w:rPr>
              <w:t>2 规范性引用文件</w:t>
            </w:r>
          </w:p>
        </w:tc>
        <w:tc>
          <w:tcPr>
            <w:tcW w:w="5362" w:type="dxa"/>
            <w:vAlign w:val="center"/>
          </w:tcPr>
          <w:p w14:paraId="346710D7">
            <w:pPr>
              <w:spacing w:line="320" w:lineRule="exact"/>
              <w:rPr>
                <w:rFonts w:hint="default" w:ascii="华文仿宋" w:hAnsi="华文仿宋" w:eastAsia="华文仿宋"/>
                <w:szCs w:val="21"/>
                <w:lang w:val="en-US" w:eastAsia="zh-CN"/>
              </w:rPr>
            </w:pPr>
            <w:r>
              <w:rPr>
                <w:rFonts w:hint="eastAsia" w:ascii="华文仿宋" w:hAnsi="华文仿宋" w:eastAsia="华文仿宋"/>
                <w:szCs w:val="21"/>
              </w:rPr>
              <w:t>检查</w:t>
            </w:r>
            <w:r>
              <w:rPr>
                <w:rFonts w:hint="eastAsia" w:ascii="华文仿宋" w:hAnsi="华文仿宋" w:eastAsia="华文仿宋"/>
                <w:szCs w:val="21"/>
                <w:lang w:eastAsia="zh-CN"/>
              </w:rPr>
              <w:t>“</w:t>
            </w:r>
            <w:r>
              <w:rPr>
                <w:rFonts w:hint="eastAsia" w:ascii="华文仿宋" w:hAnsi="华文仿宋" w:eastAsia="华文仿宋"/>
                <w:szCs w:val="21"/>
              </w:rPr>
              <w:t>规范性引用文件</w:t>
            </w:r>
            <w:r>
              <w:rPr>
                <w:rFonts w:hint="eastAsia" w:ascii="华文仿宋" w:hAnsi="华文仿宋" w:eastAsia="华文仿宋"/>
                <w:szCs w:val="21"/>
                <w:lang w:eastAsia="zh-CN"/>
              </w:rPr>
              <w:t>”</w:t>
            </w:r>
            <w:r>
              <w:rPr>
                <w:rFonts w:hint="eastAsia" w:ascii="华文仿宋" w:hAnsi="华文仿宋" w:eastAsia="华文仿宋"/>
                <w:szCs w:val="21"/>
                <w:lang w:val="en-US" w:eastAsia="zh-CN"/>
              </w:rPr>
              <w:t>的规范性</w:t>
            </w:r>
          </w:p>
        </w:tc>
        <w:tc>
          <w:tcPr>
            <w:tcW w:w="2730" w:type="dxa"/>
            <w:vAlign w:val="center"/>
          </w:tcPr>
          <w:p w14:paraId="11023AE2">
            <w:pPr>
              <w:spacing w:line="320" w:lineRule="exact"/>
              <w:rPr>
                <w:rFonts w:hint="default" w:ascii="华文仿宋" w:hAnsi="华文仿宋" w:eastAsia="华文仿宋"/>
                <w:szCs w:val="21"/>
                <w:lang w:val="en-US" w:eastAsia="zh-CN"/>
              </w:rPr>
            </w:pPr>
            <w:r>
              <w:rPr>
                <w:rFonts w:hint="eastAsia" w:ascii="华文仿宋" w:hAnsi="华文仿宋" w:eastAsia="华文仿宋"/>
                <w:szCs w:val="21"/>
                <w:lang w:val="en-US" w:eastAsia="zh-CN"/>
              </w:rPr>
              <w:t>山西省市场监督管理局</w:t>
            </w:r>
          </w:p>
        </w:tc>
        <w:tc>
          <w:tcPr>
            <w:tcW w:w="1782" w:type="dxa"/>
            <w:vAlign w:val="center"/>
          </w:tcPr>
          <w:p w14:paraId="499A62D7">
            <w:pPr>
              <w:spacing w:line="320" w:lineRule="exact"/>
              <w:jc w:val="center"/>
              <w:rPr>
                <w:rFonts w:ascii="华文仿宋" w:hAnsi="华文仿宋" w:eastAsia="华文仿宋"/>
                <w:szCs w:val="21"/>
              </w:rPr>
            </w:pPr>
            <w:r>
              <w:rPr>
                <w:rFonts w:hint="eastAsia" w:ascii="华文仿宋" w:hAnsi="华文仿宋" w:eastAsia="华文仿宋"/>
                <w:szCs w:val="21"/>
              </w:rPr>
              <w:t>采纳</w:t>
            </w:r>
          </w:p>
        </w:tc>
        <w:tc>
          <w:tcPr>
            <w:tcW w:w="2127" w:type="dxa"/>
          </w:tcPr>
          <w:p w14:paraId="6A217E70">
            <w:pPr>
              <w:spacing w:line="320" w:lineRule="exact"/>
              <w:jc w:val="center"/>
              <w:rPr>
                <w:rFonts w:ascii="华文仿宋" w:hAnsi="华文仿宋" w:eastAsia="华文仿宋"/>
                <w:szCs w:val="21"/>
              </w:rPr>
            </w:pPr>
          </w:p>
        </w:tc>
      </w:tr>
      <w:tr w14:paraId="6A72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72" w:type="dxa"/>
            <w:vAlign w:val="center"/>
          </w:tcPr>
          <w:p w14:paraId="68F0DC28">
            <w:pPr>
              <w:jc w:val="center"/>
              <w:rPr>
                <w:rFonts w:ascii="华文仿宋" w:hAnsi="华文仿宋" w:eastAsia="华文仿宋"/>
                <w:szCs w:val="21"/>
              </w:rPr>
            </w:pPr>
            <w:r>
              <w:rPr>
                <w:rFonts w:hint="eastAsia" w:ascii="华文仿宋" w:hAnsi="华文仿宋" w:eastAsia="华文仿宋"/>
                <w:szCs w:val="21"/>
              </w:rPr>
              <w:t>2</w:t>
            </w:r>
          </w:p>
        </w:tc>
        <w:tc>
          <w:tcPr>
            <w:tcW w:w="2036" w:type="dxa"/>
            <w:vAlign w:val="center"/>
          </w:tcPr>
          <w:p w14:paraId="6C158247">
            <w:pPr>
              <w:spacing w:line="32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4.3</w:t>
            </w:r>
            <w:r>
              <w:rPr>
                <w:rFonts w:hint="eastAsia" w:ascii="华文仿宋" w:hAnsi="华文仿宋" w:eastAsia="华文仿宋"/>
                <w:szCs w:val="21"/>
              </w:rPr>
              <w:t xml:space="preserve"> </w:t>
            </w:r>
            <w:r>
              <w:rPr>
                <w:rFonts w:hint="eastAsia" w:ascii="华文仿宋" w:hAnsi="华文仿宋" w:eastAsia="华文仿宋"/>
                <w:szCs w:val="21"/>
                <w:lang w:val="en-US" w:eastAsia="zh-CN"/>
              </w:rPr>
              <w:t>堆体制做</w:t>
            </w:r>
          </w:p>
        </w:tc>
        <w:tc>
          <w:tcPr>
            <w:tcW w:w="5362" w:type="dxa"/>
            <w:vAlign w:val="center"/>
          </w:tcPr>
          <w:p w14:paraId="1156752A">
            <w:pPr>
              <w:spacing w:line="320" w:lineRule="exact"/>
              <w:rPr>
                <w:rFonts w:hint="default" w:ascii="华文仿宋" w:hAnsi="华文仿宋" w:eastAsia="华文仿宋"/>
                <w:szCs w:val="21"/>
                <w:lang w:val="en-US" w:eastAsia="zh-CN"/>
              </w:rPr>
            </w:pPr>
            <w:r>
              <w:rPr>
                <w:rFonts w:hint="eastAsia" w:ascii="华文仿宋" w:hAnsi="华文仿宋" w:eastAsia="华文仿宋"/>
                <w:szCs w:val="21"/>
                <w:lang w:val="en-US" w:eastAsia="zh-CN"/>
              </w:rPr>
              <w:t>进一步条理化过程</w:t>
            </w:r>
          </w:p>
        </w:tc>
        <w:tc>
          <w:tcPr>
            <w:tcW w:w="2730" w:type="dxa"/>
            <w:vAlign w:val="center"/>
          </w:tcPr>
          <w:p w14:paraId="6582CDD4">
            <w:pPr>
              <w:spacing w:line="320" w:lineRule="exact"/>
              <w:rPr>
                <w:rFonts w:hint="default" w:ascii="华文仿宋" w:hAnsi="华文仿宋" w:eastAsia="华文仿宋"/>
                <w:szCs w:val="21"/>
                <w:lang w:val="en-US" w:eastAsia="zh-CN"/>
              </w:rPr>
            </w:pPr>
            <w:r>
              <w:rPr>
                <w:rFonts w:hint="eastAsia" w:ascii="华文仿宋" w:hAnsi="华文仿宋" w:eastAsia="华文仿宋"/>
                <w:szCs w:val="21"/>
                <w:lang w:val="en-US" w:eastAsia="zh-CN"/>
              </w:rPr>
              <w:t>山西省农业技术推广中心</w:t>
            </w:r>
          </w:p>
        </w:tc>
        <w:tc>
          <w:tcPr>
            <w:tcW w:w="1782" w:type="dxa"/>
            <w:vAlign w:val="center"/>
          </w:tcPr>
          <w:p w14:paraId="45D03AEC">
            <w:pPr>
              <w:spacing w:line="320" w:lineRule="exact"/>
              <w:jc w:val="center"/>
              <w:rPr>
                <w:rFonts w:ascii="华文仿宋" w:hAnsi="华文仿宋" w:eastAsia="华文仿宋"/>
                <w:szCs w:val="21"/>
              </w:rPr>
            </w:pPr>
            <w:r>
              <w:rPr>
                <w:rFonts w:hint="eastAsia" w:ascii="华文仿宋" w:hAnsi="华文仿宋" w:eastAsia="华文仿宋"/>
                <w:szCs w:val="21"/>
              </w:rPr>
              <w:t>采纳</w:t>
            </w:r>
          </w:p>
        </w:tc>
        <w:tc>
          <w:tcPr>
            <w:tcW w:w="2127" w:type="dxa"/>
          </w:tcPr>
          <w:p w14:paraId="74005D78">
            <w:pPr>
              <w:spacing w:line="320" w:lineRule="exact"/>
              <w:jc w:val="center"/>
              <w:rPr>
                <w:rFonts w:ascii="华文仿宋" w:hAnsi="华文仿宋" w:eastAsia="华文仿宋"/>
                <w:szCs w:val="21"/>
              </w:rPr>
            </w:pPr>
          </w:p>
        </w:tc>
      </w:tr>
      <w:tr w14:paraId="37C0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72" w:type="dxa"/>
            <w:vAlign w:val="center"/>
          </w:tcPr>
          <w:p w14:paraId="0CC6BF37">
            <w:pPr>
              <w:jc w:val="center"/>
              <w:rPr>
                <w:rFonts w:ascii="华文仿宋" w:hAnsi="华文仿宋" w:eastAsia="华文仿宋"/>
                <w:szCs w:val="21"/>
              </w:rPr>
            </w:pPr>
            <w:r>
              <w:rPr>
                <w:rFonts w:hint="eastAsia" w:ascii="华文仿宋" w:hAnsi="华文仿宋" w:eastAsia="华文仿宋"/>
                <w:szCs w:val="21"/>
              </w:rPr>
              <w:t>3</w:t>
            </w:r>
          </w:p>
        </w:tc>
        <w:tc>
          <w:tcPr>
            <w:tcW w:w="2036" w:type="dxa"/>
            <w:vAlign w:val="center"/>
          </w:tcPr>
          <w:p w14:paraId="37AAD16F">
            <w:pPr>
              <w:spacing w:line="320" w:lineRule="exact"/>
              <w:rPr>
                <w:rFonts w:hint="default" w:ascii="华文仿宋" w:hAnsi="华文仿宋" w:eastAsia="华文仿宋"/>
                <w:szCs w:val="21"/>
                <w:lang w:val="en-US" w:eastAsia="zh-CN"/>
              </w:rPr>
            </w:pPr>
            <w:r>
              <w:rPr>
                <w:rFonts w:hint="eastAsia" w:ascii="华文仿宋" w:hAnsi="华文仿宋" w:eastAsia="华文仿宋"/>
                <w:szCs w:val="21"/>
                <w:lang w:val="en-US" w:eastAsia="zh-CN"/>
              </w:rPr>
              <w:t>4 原位堆腐技术</w:t>
            </w:r>
          </w:p>
        </w:tc>
        <w:tc>
          <w:tcPr>
            <w:tcW w:w="5362" w:type="dxa"/>
            <w:vAlign w:val="center"/>
          </w:tcPr>
          <w:p w14:paraId="1C0920DA">
            <w:pPr>
              <w:spacing w:line="320" w:lineRule="exact"/>
              <w:rPr>
                <w:rFonts w:hint="default" w:ascii="华文仿宋" w:hAnsi="华文仿宋" w:eastAsia="华文仿宋"/>
                <w:szCs w:val="21"/>
                <w:lang w:val="en-US" w:eastAsia="zh-CN"/>
              </w:rPr>
            </w:pPr>
            <w:r>
              <w:rPr>
                <w:rFonts w:hint="eastAsia" w:ascii="华文仿宋" w:hAnsi="华文仿宋" w:eastAsia="华文仿宋"/>
                <w:szCs w:val="21"/>
                <w:lang w:val="en-US" w:eastAsia="zh-CN"/>
              </w:rPr>
              <w:t>增加“堆腐实施启动时间”</w:t>
            </w:r>
          </w:p>
        </w:tc>
        <w:tc>
          <w:tcPr>
            <w:tcW w:w="2730" w:type="dxa"/>
            <w:vAlign w:val="center"/>
          </w:tcPr>
          <w:p w14:paraId="67696A1A">
            <w:pPr>
              <w:spacing w:line="320" w:lineRule="exact"/>
              <w:rPr>
                <w:rFonts w:ascii="华文仿宋" w:hAnsi="华文仿宋" w:eastAsia="华文仿宋"/>
                <w:szCs w:val="21"/>
              </w:rPr>
            </w:pPr>
            <w:r>
              <w:rPr>
                <w:rFonts w:hint="eastAsia" w:ascii="华文仿宋" w:hAnsi="华文仿宋" w:eastAsia="华文仿宋"/>
                <w:szCs w:val="21"/>
              </w:rPr>
              <w:t>山西农业大学农学院</w:t>
            </w:r>
            <w:bookmarkStart w:id="6" w:name="_GoBack"/>
            <w:bookmarkEnd w:id="6"/>
          </w:p>
        </w:tc>
        <w:tc>
          <w:tcPr>
            <w:tcW w:w="1782" w:type="dxa"/>
            <w:vAlign w:val="center"/>
          </w:tcPr>
          <w:p w14:paraId="0D47EEF8">
            <w:pPr>
              <w:spacing w:line="320" w:lineRule="exact"/>
              <w:jc w:val="center"/>
              <w:rPr>
                <w:rFonts w:ascii="华文仿宋" w:hAnsi="华文仿宋" w:eastAsia="华文仿宋"/>
                <w:szCs w:val="21"/>
              </w:rPr>
            </w:pPr>
            <w:r>
              <w:rPr>
                <w:rFonts w:hint="eastAsia" w:ascii="华文仿宋" w:hAnsi="华文仿宋" w:eastAsia="华文仿宋"/>
                <w:szCs w:val="21"/>
              </w:rPr>
              <w:t>采纳</w:t>
            </w:r>
          </w:p>
        </w:tc>
        <w:tc>
          <w:tcPr>
            <w:tcW w:w="2127" w:type="dxa"/>
          </w:tcPr>
          <w:p w14:paraId="2D053AAF">
            <w:pPr>
              <w:spacing w:line="320" w:lineRule="exact"/>
              <w:jc w:val="center"/>
              <w:rPr>
                <w:rFonts w:ascii="华文仿宋" w:hAnsi="华文仿宋" w:eastAsia="华文仿宋"/>
                <w:szCs w:val="21"/>
              </w:rPr>
            </w:pPr>
          </w:p>
        </w:tc>
      </w:tr>
      <w:tr w14:paraId="3BA94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72" w:type="dxa"/>
            <w:vAlign w:val="center"/>
          </w:tcPr>
          <w:p w14:paraId="2FDC60CA">
            <w:pPr>
              <w:jc w:val="center"/>
              <w:rPr>
                <w:rFonts w:ascii="华文仿宋" w:hAnsi="华文仿宋" w:eastAsia="华文仿宋"/>
                <w:szCs w:val="21"/>
              </w:rPr>
            </w:pPr>
            <w:r>
              <w:rPr>
                <w:rFonts w:hint="eastAsia" w:ascii="华文仿宋" w:hAnsi="华文仿宋" w:eastAsia="华文仿宋"/>
                <w:szCs w:val="21"/>
              </w:rPr>
              <w:t>4</w:t>
            </w:r>
          </w:p>
        </w:tc>
        <w:tc>
          <w:tcPr>
            <w:tcW w:w="2036" w:type="dxa"/>
            <w:vAlign w:val="center"/>
          </w:tcPr>
          <w:p w14:paraId="582CDCCE">
            <w:pPr>
              <w:spacing w:line="320" w:lineRule="exact"/>
              <w:rPr>
                <w:rFonts w:hint="default" w:ascii="华文仿宋" w:hAnsi="华文仿宋" w:eastAsia="华文仿宋"/>
                <w:szCs w:val="21"/>
                <w:lang w:val="en-US" w:eastAsia="zh-CN"/>
              </w:rPr>
            </w:pPr>
            <w:r>
              <w:rPr>
                <w:rFonts w:hint="eastAsia" w:ascii="华文仿宋" w:hAnsi="华文仿宋" w:eastAsia="华文仿宋"/>
                <w:szCs w:val="21"/>
                <w:lang w:val="en-US" w:eastAsia="zh-CN"/>
              </w:rPr>
              <w:t>6 田间管理</w:t>
            </w:r>
          </w:p>
        </w:tc>
        <w:tc>
          <w:tcPr>
            <w:tcW w:w="5362" w:type="dxa"/>
            <w:vAlign w:val="center"/>
          </w:tcPr>
          <w:p w14:paraId="6B73EC31">
            <w:pPr>
              <w:spacing w:line="320" w:lineRule="exact"/>
              <w:rPr>
                <w:rFonts w:hint="eastAsia" w:ascii="华文仿宋" w:hAnsi="华文仿宋" w:eastAsia="华文仿宋"/>
                <w:szCs w:val="21"/>
                <w:lang w:val="en-US" w:eastAsia="zh-CN"/>
              </w:rPr>
            </w:pPr>
            <w:r>
              <w:rPr>
                <w:rFonts w:hint="eastAsia" w:ascii="华文仿宋" w:hAnsi="华文仿宋" w:eastAsia="华文仿宋"/>
                <w:szCs w:val="21"/>
                <w:lang w:val="en-US" w:eastAsia="zh-CN"/>
              </w:rPr>
              <w:t>去掉这一条</w:t>
            </w:r>
          </w:p>
        </w:tc>
        <w:tc>
          <w:tcPr>
            <w:tcW w:w="2730" w:type="dxa"/>
            <w:vAlign w:val="center"/>
          </w:tcPr>
          <w:p w14:paraId="49D83CB4">
            <w:pPr>
              <w:spacing w:line="320" w:lineRule="exact"/>
              <w:rPr>
                <w:rFonts w:hint="eastAsia" w:ascii="华文仿宋" w:hAnsi="华文仿宋" w:eastAsia="华文仿宋"/>
                <w:szCs w:val="21"/>
                <w:lang w:eastAsia="zh-CN"/>
              </w:rPr>
            </w:pPr>
            <w:r>
              <w:rPr>
                <w:rFonts w:hint="eastAsia" w:ascii="华文仿宋" w:hAnsi="华文仿宋" w:eastAsia="华文仿宋"/>
                <w:szCs w:val="21"/>
              </w:rPr>
              <w:t>山西农业大学</w:t>
            </w:r>
            <w:r>
              <w:rPr>
                <w:rFonts w:hint="eastAsia" w:ascii="华文仿宋" w:hAnsi="华文仿宋" w:eastAsia="华文仿宋"/>
                <w:szCs w:val="21"/>
                <w:lang w:val="en-US" w:eastAsia="zh-CN"/>
              </w:rPr>
              <w:t>小麦所</w:t>
            </w:r>
          </w:p>
        </w:tc>
        <w:tc>
          <w:tcPr>
            <w:tcW w:w="1782" w:type="dxa"/>
            <w:vAlign w:val="center"/>
          </w:tcPr>
          <w:p w14:paraId="4A07F318">
            <w:pPr>
              <w:spacing w:line="320" w:lineRule="exact"/>
              <w:jc w:val="center"/>
              <w:rPr>
                <w:rFonts w:ascii="华文仿宋" w:hAnsi="华文仿宋" w:eastAsia="华文仿宋"/>
                <w:szCs w:val="21"/>
              </w:rPr>
            </w:pPr>
            <w:r>
              <w:rPr>
                <w:rFonts w:hint="eastAsia" w:ascii="华文仿宋" w:hAnsi="华文仿宋" w:eastAsia="华文仿宋"/>
                <w:szCs w:val="21"/>
              </w:rPr>
              <w:t>采纳</w:t>
            </w:r>
          </w:p>
        </w:tc>
        <w:tc>
          <w:tcPr>
            <w:tcW w:w="2127" w:type="dxa"/>
          </w:tcPr>
          <w:p w14:paraId="4AEA7169">
            <w:pPr>
              <w:spacing w:line="320" w:lineRule="exact"/>
              <w:rPr>
                <w:rFonts w:ascii="华文仿宋" w:hAnsi="华文仿宋" w:eastAsia="华文仿宋"/>
                <w:szCs w:val="21"/>
              </w:rPr>
            </w:pPr>
          </w:p>
        </w:tc>
      </w:tr>
      <w:tr w14:paraId="070B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72" w:type="dxa"/>
            <w:vAlign w:val="center"/>
          </w:tcPr>
          <w:p w14:paraId="31F822FB">
            <w:pPr>
              <w:jc w:val="center"/>
              <w:rPr>
                <w:rFonts w:ascii="华文仿宋" w:hAnsi="华文仿宋" w:eastAsia="华文仿宋"/>
                <w:szCs w:val="21"/>
              </w:rPr>
            </w:pPr>
            <w:r>
              <w:rPr>
                <w:rFonts w:hint="eastAsia" w:ascii="华文仿宋" w:hAnsi="华文仿宋" w:eastAsia="华文仿宋"/>
                <w:szCs w:val="21"/>
              </w:rPr>
              <w:t>5</w:t>
            </w:r>
          </w:p>
        </w:tc>
        <w:tc>
          <w:tcPr>
            <w:tcW w:w="2036" w:type="dxa"/>
            <w:vAlign w:val="center"/>
          </w:tcPr>
          <w:p w14:paraId="00614F07">
            <w:pPr>
              <w:pStyle w:val="13"/>
              <w:numPr>
                <w:ilvl w:val="0"/>
                <w:numId w:val="0"/>
              </w:numPr>
              <w:spacing w:before="159" w:after="159" w:line="320" w:lineRule="exact"/>
              <w:rPr>
                <w:rFonts w:hint="default" w:ascii="华文仿宋" w:hAnsi="华文仿宋" w:eastAsia="华文仿宋"/>
                <w:kern w:val="2"/>
                <w:szCs w:val="21"/>
                <w:lang w:val="en-US" w:eastAsia="zh-CN"/>
              </w:rPr>
            </w:pPr>
            <w:r>
              <w:rPr>
                <w:rFonts w:hint="eastAsia" w:ascii="华文仿宋" w:hAnsi="华文仿宋" w:eastAsia="华文仿宋"/>
                <w:szCs w:val="21"/>
                <w:lang w:val="en-US" w:eastAsia="zh-CN"/>
              </w:rPr>
              <w:t>4 原位堆腐技术</w:t>
            </w:r>
          </w:p>
        </w:tc>
        <w:tc>
          <w:tcPr>
            <w:tcW w:w="5362" w:type="dxa"/>
            <w:vAlign w:val="center"/>
          </w:tcPr>
          <w:p w14:paraId="32E5656A">
            <w:pPr>
              <w:pStyle w:val="13"/>
              <w:numPr>
                <w:ilvl w:val="0"/>
                <w:numId w:val="0"/>
              </w:numPr>
              <w:spacing w:before="159" w:after="159" w:line="320" w:lineRule="exact"/>
              <w:rPr>
                <w:rFonts w:hint="default" w:ascii="华文仿宋" w:hAnsi="华文仿宋" w:eastAsia="华文仿宋"/>
                <w:szCs w:val="21"/>
                <w:lang w:val="en-US"/>
              </w:rPr>
            </w:pPr>
            <w:r>
              <w:rPr>
                <w:rFonts w:hint="eastAsia" w:ascii="华文仿宋" w:hAnsi="华文仿宋" w:eastAsia="华文仿宋"/>
                <w:kern w:val="2"/>
                <w:szCs w:val="21"/>
              </w:rPr>
              <w:t>建议</w:t>
            </w:r>
            <w:r>
              <w:rPr>
                <w:rFonts w:hint="eastAsia" w:ascii="华文仿宋" w:hAnsi="华文仿宋" w:eastAsia="华文仿宋"/>
                <w:kern w:val="2"/>
                <w:szCs w:val="21"/>
                <w:lang w:val="en-US" w:eastAsia="zh-CN"/>
              </w:rPr>
              <w:t>将流程进一步梳理，言简意赅</w:t>
            </w:r>
          </w:p>
        </w:tc>
        <w:tc>
          <w:tcPr>
            <w:tcW w:w="2730" w:type="dxa"/>
            <w:vAlign w:val="center"/>
          </w:tcPr>
          <w:p w14:paraId="62C1D1F0">
            <w:pPr>
              <w:spacing w:line="320" w:lineRule="exact"/>
              <w:rPr>
                <w:rFonts w:hint="eastAsia" w:ascii="华文仿宋" w:hAnsi="华文仿宋" w:eastAsia="华文仿宋"/>
                <w:szCs w:val="21"/>
                <w:lang w:eastAsia="zh-CN"/>
              </w:rPr>
            </w:pPr>
            <w:r>
              <w:rPr>
                <w:rFonts w:hint="eastAsia" w:ascii="华文仿宋" w:hAnsi="华文仿宋" w:eastAsia="华文仿宋"/>
                <w:szCs w:val="21"/>
              </w:rPr>
              <w:t>山西农业大学</w:t>
            </w:r>
            <w:r>
              <w:rPr>
                <w:rFonts w:hint="eastAsia" w:ascii="华文仿宋" w:hAnsi="华文仿宋" w:eastAsia="华文仿宋"/>
                <w:szCs w:val="21"/>
                <w:lang w:val="en-US" w:eastAsia="zh-CN"/>
              </w:rPr>
              <w:t>棉花所</w:t>
            </w:r>
          </w:p>
        </w:tc>
        <w:tc>
          <w:tcPr>
            <w:tcW w:w="1782" w:type="dxa"/>
            <w:vAlign w:val="center"/>
          </w:tcPr>
          <w:p w14:paraId="1FED7722">
            <w:pPr>
              <w:spacing w:line="320" w:lineRule="exact"/>
              <w:jc w:val="center"/>
              <w:rPr>
                <w:rFonts w:ascii="华文仿宋" w:hAnsi="华文仿宋" w:eastAsia="华文仿宋"/>
                <w:szCs w:val="21"/>
              </w:rPr>
            </w:pPr>
            <w:r>
              <w:rPr>
                <w:rFonts w:hint="eastAsia" w:ascii="华文仿宋" w:hAnsi="华文仿宋" w:eastAsia="华文仿宋"/>
                <w:szCs w:val="21"/>
              </w:rPr>
              <w:t>采纳</w:t>
            </w:r>
          </w:p>
        </w:tc>
        <w:tc>
          <w:tcPr>
            <w:tcW w:w="2127" w:type="dxa"/>
          </w:tcPr>
          <w:p w14:paraId="4C7C96BE">
            <w:pPr>
              <w:spacing w:line="320" w:lineRule="exact"/>
              <w:jc w:val="center"/>
              <w:rPr>
                <w:rFonts w:ascii="华文仿宋" w:hAnsi="华文仿宋" w:eastAsia="华文仿宋"/>
                <w:szCs w:val="21"/>
              </w:rPr>
            </w:pPr>
          </w:p>
        </w:tc>
      </w:tr>
      <w:tr w14:paraId="4AE4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72" w:type="dxa"/>
            <w:vAlign w:val="center"/>
          </w:tcPr>
          <w:p w14:paraId="3E053C72">
            <w:pPr>
              <w:jc w:val="center"/>
              <w:rPr>
                <w:rFonts w:ascii="华文仿宋" w:hAnsi="华文仿宋" w:eastAsia="华文仿宋"/>
                <w:szCs w:val="21"/>
              </w:rPr>
            </w:pPr>
            <w:r>
              <w:rPr>
                <w:rFonts w:hint="eastAsia" w:ascii="华文仿宋" w:hAnsi="华文仿宋" w:eastAsia="华文仿宋"/>
                <w:szCs w:val="21"/>
              </w:rPr>
              <w:t>6</w:t>
            </w:r>
          </w:p>
        </w:tc>
        <w:tc>
          <w:tcPr>
            <w:tcW w:w="2036" w:type="dxa"/>
            <w:vAlign w:val="center"/>
          </w:tcPr>
          <w:p w14:paraId="12E31CC8">
            <w:pPr>
              <w:spacing w:line="32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技术档案</w:t>
            </w:r>
          </w:p>
        </w:tc>
        <w:tc>
          <w:tcPr>
            <w:tcW w:w="5362" w:type="dxa"/>
            <w:vAlign w:val="center"/>
          </w:tcPr>
          <w:p w14:paraId="650DA417">
            <w:pPr>
              <w:spacing w:line="320" w:lineRule="exact"/>
              <w:rPr>
                <w:rFonts w:hint="eastAsia" w:ascii="华文仿宋" w:hAnsi="华文仿宋" w:eastAsia="华文仿宋"/>
                <w:szCs w:val="21"/>
                <w:lang w:eastAsia="zh-CN"/>
              </w:rPr>
            </w:pPr>
            <w:r>
              <w:rPr>
                <w:rFonts w:hint="eastAsia" w:ascii="华文仿宋" w:hAnsi="华文仿宋" w:eastAsia="华文仿宋"/>
                <w:szCs w:val="21"/>
                <w:lang w:val="en-US" w:eastAsia="zh-CN"/>
              </w:rPr>
              <w:t>增加“技术档案”</w:t>
            </w:r>
          </w:p>
        </w:tc>
        <w:tc>
          <w:tcPr>
            <w:tcW w:w="2730" w:type="dxa"/>
            <w:vAlign w:val="center"/>
          </w:tcPr>
          <w:p w14:paraId="0AFB1A63">
            <w:pPr>
              <w:spacing w:line="320" w:lineRule="exact"/>
              <w:rPr>
                <w:rFonts w:ascii="华文仿宋" w:hAnsi="华文仿宋" w:eastAsia="华文仿宋"/>
                <w:szCs w:val="21"/>
              </w:rPr>
            </w:pPr>
            <w:r>
              <w:rPr>
                <w:rFonts w:hint="eastAsia" w:ascii="华文仿宋" w:hAnsi="华文仿宋" w:eastAsia="华文仿宋"/>
                <w:szCs w:val="21"/>
                <w:lang w:val="en-US" w:eastAsia="zh-CN"/>
              </w:rPr>
              <w:t>山西省市场监督管理局</w:t>
            </w:r>
          </w:p>
        </w:tc>
        <w:tc>
          <w:tcPr>
            <w:tcW w:w="1782" w:type="dxa"/>
            <w:vAlign w:val="center"/>
          </w:tcPr>
          <w:p w14:paraId="31C4EDC2">
            <w:pPr>
              <w:spacing w:line="320" w:lineRule="exact"/>
              <w:ind w:firstLine="630" w:firstLineChars="300"/>
              <w:rPr>
                <w:rFonts w:ascii="华文仿宋" w:hAnsi="华文仿宋" w:eastAsia="华文仿宋"/>
                <w:szCs w:val="21"/>
              </w:rPr>
            </w:pPr>
            <w:r>
              <w:rPr>
                <w:rFonts w:hint="eastAsia" w:ascii="华文仿宋" w:hAnsi="华文仿宋" w:eastAsia="华文仿宋"/>
                <w:szCs w:val="21"/>
              </w:rPr>
              <w:t>采纳</w:t>
            </w:r>
          </w:p>
        </w:tc>
        <w:tc>
          <w:tcPr>
            <w:tcW w:w="2127" w:type="dxa"/>
          </w:tcPr>
          <w:p w14:paraId="4F6B7590">
            <w:pPr>
              <w:spacing w:line="320" w:lineRule="exact"/>
              <w:ind w:firstLine="210" w:firstLineChars="100"/>
              <w:rPr>
                <w:rFonts w:ascii="华文仿宋" w:hAnsi="华文仿宋" w:eastAsia="华文仿宋"/>
                <w:szCs w:val="21"/>
              </w:rPr>
            </w:pPr>
          </w:p>
        </w:tc>
      </w:tr>
      <w:tr w14:paraId="6A38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4709" w:type="dxa"/>
            <w:gridSpan w:val="6"/>
            <w:vAlign w:val="center"/>
          </w:tcPr>
          <w:p w14:paraId="6A6A8245">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14:paraId="42FCCA24">
            <w:pPr>
              <w:spacing w:line="320" w:lineRule="exact"/>
              <w:ind w:left="630" w:hanging="720" w:hangingChars="300"/>
              <w:jc w:val="both"/>
              <w:rPr>
                <w:rFonts w:ascii="华文仿宋" w:hAnsi="华文仿宋" w:eastAsia="华文仿宋"/>
                <w:szCs w:val="21"/>
              </w:rPr>
            </w:pPr>
            <w:r>
              <w:rPr>
                <w:rFonts w:hint="eastAsia" w:ascii="仿宋_GB2312" w:hAnsi="宋体" w:eastAsia="仿宋_GB2312"/>
                <w:sz w:val="24"/>
              </w:rPr>
              <w:t>2.发送征求意见单位数</w:t>
            </w:r>
            <w:r>
              <w:rPr>
                <w:rFonts w:ascii="Times New Roman" w:hAnsi="Times New Roman" w:eastAsia="宋体" w:cs="Times New Roman"/>
                <w:szCs w:val="21"/>
                <w:u w:val="single"/>
              </w:rPr>
              <w:t xml:space="preserve"> </w:t>
            </w:r>
            <w:r>
              <w:rPr>
                <w:rFonts w:hint="eastAsia" w:ascii="Times New Roman" w:hAnsi="Times New Roman" w:cs="Times New Roman"/>
                <w:szCs w:val="21"/>
                <w:u w:val="single"/>
                <w:lang w:val="en-US" w:eastAsia="zh-CN"/>
              </w:rPr>
              <w:t>5</w:t>
            </w:r>
            <w:r>
              <w:rPr>
                <w:rFonts w:ascii="Times New Roman" w:hAnsi="Times New Roman" w:eastAsia="宋体" w:cs="Times New Roman"/>
                <w:szCs w:val="21"/>
                <w:u w:val="single"/>
              </w:rPr>
              <w:t xml:space="preserve"> </w:t>
            </w:r>
            <w:r>
              <w:rPr>
                <w:rFonts w:hint="eastAsia" w:ascii="仿宋_GB2312" w:hAnsi="宋体" w:eastAsia="仿宋_GB2312"/>
                <w:sz w:val="24"/>
              </w:rPr>
              <w:t>个，收到征求意见稿回函的单位数</w:t>
            </w:r>
            <w:r>
              <w:rPr>
                <w:rFonts w:ascii="Times New Roman" w:hAnsi="Times New Roman" w:eastAsia="宋体" w:cs="Times New Roman"/>
                <w:szCs w:val="21"/>
                <w:u w:val="single"/>
              </w:rPr>
              <w:t xml:space="preserve"> </w:t>
            </w:r>
            <w:r>
              <w:rPr>
                <w:rFonts w:hint="eastAsia" w:ascii="Times New Roman" w:hAnsi="Times New Roman" w:cs="Times New Roman"/>
                <w:szCs w:val="21"/>
                <w:u w:val="single"/>
                <w:lang w:val="en-US" w:eastAsia="zh-CN"/>
              </w:rPr>
              <w:t>5</w:t>
            </w:r>
            <w:r>
              <w:rPr>
                <w:rFonts w:hint="eastAsia" w:ascii="仿宋_GB2312" w:hAnsi="宋体" w:eastAsia="仿宋_GB2312"/>
                <w:sz w:val="24"/>
              </w:rPr>
              <w:t>个，收到征求意见稿并提出意见的单位数</w:t>
            </w:r>
            <w:r>
              <w:rPr>
                <w:rFonts w:ascii="Times New Roman" w:hAnsi="Times New Roman" w:eastAsia="宋体" w:cs="Times New Roman"/>
                <w:szCs w:val="21"/>
                <w:u w:val="single"/>
              </w:rPr>
              <w:t xml:space="preserve"> </w:t>
            </w:r>
            <w:r>
              <w:rPr>
                <w:rFonts w:hint="eastAsia" w:ascii="Times New Roman" w:hAnsi="Times New Roman" w:cs="Times New Roman"/>
                <w:szCs w:val="21"/>
                <w:u w:val="single"/>
                <w:lang w:val="en-US" w:eastAsia="zh-CN"/>
              </w:rPr>
              <w:t>5</w:t>
            </w:r>
            <w:r>
              <w:rPr>
                <w:rFonts w:hint="eastAsia" w:ascii="仿宋_GB2312" w:hAnsi="宋体" w:eastAsia="仿宋_GB2312"/>
                <w:sz w:val="24"/>
              </w:rPr>
              <w:t>个，没有回函的单位数</w:t>
            </w:r>
            <w:r>
              <w:rPr>
                <w:rFonts w:ascii="Times New Roman" w:hAnsi="Times New Roman" w:eastAsia="宋体" w:cs="Times New Roman"/>
                <w:szCs w:val="21"/>
                <w:u w:val="single"/>
              </w:rPr>
              <w:t xml:space="preserve"> </w:t>
            </w:r>
            <w:r>
              <w:rPr>
                <w:rFonts w:hint="eastAsia" w:ascii="Times New Roman" w:hAnsi="Times New Roman" w:cs="Times New Roman"/>
                <w:szCs w:val="21"/>
                <w:u w:val="single"/>
                <w:lang w:val="en-US" w:eastAsia="zh-CN"/>
              </w:rPr>
              <w:t>0</w:t>
            </w:r>
            <w:r>
              <w:rPr>
                <w:rFonts w:hint="eastAsia" w:ascii="仿宋_GB2312" w:hAnsi="宋体" w:eastAsia="仿宋_GB2312"/>
                <w:sz w:val="24"/>
              </w:rPr>
              <w:t>个，共收到</w:t>
            </w:r>
            <w:r>
              <w:rPr>
                <w:rFonts w:ascii="Times New Roman" w:hAnsi="Times New Roman" w:eastAsia="宋体" w:cs="Times New Roman"/>
                <w:szCs w:val="21"/>
                <w:u w:val="single"/>
              </w:rPr>
              <w:t xml:space="preserve"> </w:t>
            </w:r>
            <w:r>
              <w:rPr>
                <w:rFonts w:hint="eastAsia" w:ascii="Times New Roman" w:hAnsi="Times New Roman" w:cs="Times New Roman"/>
                <w:szCs w:val="21"/>
                <w:u w:val="single"/>
                <w:lang w:val="en-US" w:eastAsia="zh-CN"/>
              </w:rPr>
              <w:t>6</w:t>
            </w:r>
            <w:r>
              <w:rPr>
                <w:rFonts w:hint="eastAsia" w:ascii="仿宋_GB2312" w:hAnsi="宋体" w:eastAsia="仿宋_GB2312"/>
                <w:sz w:val="24"/>
              </w:rPr>
              <w:t>条意见，采纳</w:t>
            </w:r>
            <w:r>
              <w:rPr>
                <w:rFonts w:ascii="Times New Roman" w:hAnsi="Times New Roman" w:eastAsia="宋体" w:cs="Times New Roman"/>
                <w:szCs w:val="21"/>
                <w:u w:val="single"/>
              </w:rPr>
              <w:t xml:space="preserve"> </w:t>
            </w:r>
            <w:r>
              <w:rPr>
                <w:rFonts w:hint="eastAsia" w:ascii="Times New Roman" w:hAnsi="Times New Roman" w:cs="Times New Roman"/>
                <w:szCs w:val="21"/>
                <w:u w:val="single"/>
                <w:lang w:val="en-US" w:eastAsia="zh-CN"/>
              </w:rPr>
              <w:t>6</w:t>
            </w:r>
            <w:r>
              <w:rPr>
                <w:rFonts w:ascii="Times New Roman" w:hAnsi="Times New Roman" w:eastAsia="宋体" w:cs="Times New Roman"/>
                <w:szCs w:val="21"/>
                <w:u w:val="single"/>
              </w:rPr>
              <w:t xml:space="preserve"> </w:t>
            </w:r>
            <w:r>
              <w:rPr>
                <w:rFonts w:hint="eastAsia" w:ascii="仿宋_GB2312" w:hAnsi="宋体" w:eastAsia="仿宋_GB2312"/>
                <w:sz w:val="24"/>
              </w:rPr>
              <w:t>条意见，部分采纳</w:t>
            </w:r>
            <w:r>
              <w:rPr>
                <w:rFonts w:ascii="Times New Roman" w:hAnsi="Times New Roman" w:eastAsia="宋体" w:cs="Times New Roman"/>
                <w:szCs w:val="21"/>
                <w:u w:val="single"/>
              </w:rPr>
              <w:t xml:space="preserve"> </w:t>
            </w:r>
            <w:r>
              <w:rPr>
                <w:rFonts w:hint="eastAsia" w:ascii="Times New Roman" w:hAnsi="Times New Roman" w:cs="Times New Roman"/>
                <w:szCs w:val="21"/>
                <w:u w:val="single"/>
                <w:lang w:val="en-US" w:eastAsia="zh-CN"/>
              </w:rPr>
              <w:t>0</w:t>
            </w:r>
            <w:r>
              <w:rPr>
                <w:rFonts w:hint="eastAsia" w:ascii="仿宋_GB2312" w:hAnsi="宋体" w:eastAsia="仿宋_GB2312"/>
                <w:sz w:val="24"/>
              </w:rPr>
              <w:t>条意见，未采纳</w:t>
            </w:r>
            <w:r>
              <w:rPr>
                <w:rFonts w:hint="eastAsia" w:ascii="仿宋_GB2312" w:hAnsi="宋体" w:eastAsia="仿宋_GB2312"/>
                <w:sz w:val="24"/>
                <w:u w:val="single"/>
                <w:lang w:val="en-US" w:eastAsia="zh-CN"/>
              </w:rPr>
              <w:t>0</w:t>
            </w:r>
            <w:r>
              <w:rPr>
                <w:rFonts w:ascii="Times New Roman" w:hAnsi="Times New Roman" w:eastAsia="宋体" w:cs="Times New Roman"/>
                <w:szCs w:val="21"/>
                <w:u w:val="single"/>
              </w:rPr>
              <w:t xml:space="preserve"> </w:t>
            </w:r>
            <w:r>
              <w:rPr>
                <w:rFonts w:hint="eastAsia" w:ascii="仿宋_GB2312" w:hAnsi="宋体" w:eastAsia="仿宋_GB2312"/>
                <w:sz w:val="24"/>
              </w:rPr>
              <w:t>条意见。</w:t>
            </w:r>
          </w:p>
        </w:tc>
      </w:tr>
    </w:tbl>
    <w:p w14:paraId="4FAA9A2E"/>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algun Gothic Semilight">
    <w:panose1 w:val="020B0502040204020203"/>
    <w:charset w:val="86"/>
    <w:family w:val="swiss"/>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A6812">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443E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1"/>
      <w:suff w:val="nothing"/>
      <w:lvlText w:val="%1　"/>
      <w:lvlJc w:val="left"/>
      <w:rPr>
        <w:rFonts w:hint="eastAsia" w:ascii="黑体" w:hAnsi="Times New Roman" w:eastAsia="黑体" w:cs="Times New Roman"/>
        <w:b w:val="0"/>
        <w:bCs w:val="0"/>
        <w:i w:val="0"/>
        <w:iCs w:val="0"/>
        <w:sz w:val="21"/>
        <w:szCs w:val="21"/>
      </w:rPr>
    </w:lvl>
    <w:lvl w:ilvl="1" w:tentative="0">
      <w:start w:val="1"/>
      <w:numFmt w:val="decimal"/>
      <w:suff w:val="nothing"/>
      <w:lvlText w:val="%1.%2　"/>
      <w:lvlJc w:val="left"/>
      <w:pPr>
        <w:ind w:left="426"/>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rPr>
        <w:rFonts w:hint="eastAsia" w:ascii="黑体" w:hAnsi="Times New Roman" w:eastAsia="黑体" w:cs="Times New Roman"/>
        <w:b w:val="0"/>
        <w:bCs w:val="0"/>
        <w:i w:val="0"/>
        <w:iCs w:val="0"/>
        <w:sz w:val="21"/>
        <w:szCs w:val="21"/>
      </w:rPr>
    </w:lvl>
    <w:lvl w:ilvl="3" w:tentative="0">
      <w:start w:val="1"/>
      <w:numFmt w:val="decimal"/>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pStyle w:val="13"/>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
    <w:nsid w:val="6FE6CC54"/>
    <w:multiLevelType w:val="singleLevel"/>
    <w:tmpl w:val="6FE6CC54"/>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0OTJmY2MyNDRiNjgyODFkMmY5MTA1NjQwYzQzZmIifQ=="/>
  </w:docVars>
  <w:rsids>
    <w:rsidRoot w:val="55CB0EC4"/>
    <w:rsid w:val="02A40749"/>
    <w:rsid w:val="35F96F21"/>
    <w:rsid w:val="60BD0E15"/>
    <w:rsid w:val="60D222B2"/>
    <w:rsid w:val="75F90FF1"/>
    <w:rsid w:val="787E7717"/>
    <w:rsid w:val="7D501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
    <w:name w:val="章标题"/>
    <w:next w:val="12"/>
    <w:qFormat/>
    <w:uiPriority w:val="99"/>
    <w:pPr>
      <w:numPr>
        <w:ilvl w:val="0"/>
        <w:numId w:val="1"/>
      </w:numPr>
      <w:spacing w:beforeLines="100" w:afterLines="100"/>
      <w:jc w:val="both"/>
      <w:outlineLvl w:val="1"/>
    </w:pPr>
    <w:rPr>
      <w:rFonts w:ascii="黑体" w:hAnsi="Times New Roman" w:eastAsia="黑体" w:cs="黑体"/>
      <w:sz w:val="21"/>
      <w:szCs w:val="21"/>
      <w:lang w:val="en-US" w:eastAsia="zh-CN" w:bidi="ar-SA"/>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customStyle="1" w:styleId="13">
    <w:name w:val="标准文件_一级条标题"/>
    <w:basedOn w:val="1"/>
    <w:next w:val="1"/>
    <w:autoRedefine/>
    <w:qFormat/>
    <w:uiPriority w:val="0"/>
    <w:pPr>
      <w:widowControl/>
      <w:numPr>
        <w:ilvl w:val="2"/>
        <w:numId w:val="2"/>
      </w:numPr>
      <w:spacing w:beforeLines="50" w:after="0" w:afterLines="50" w:line="240" w:lineRule="auto"/>
      <w:outlineLvl w:val="1"/>
    </w:pPr>
    <w:rPr>
      <w:rFonts w:ascii="黑体"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26087;&#21150;&#20844;&#30005;&#33041;\&#26412;&#22320;&#30913;&#30424;\&#25104;&#26524;\&#26631;&#20934;\2023&#22320;&#26041;&#26631;&#20934;\2023&#26631;&#20934;&#30003;&#25253;\&#31435;&#39033;&#31572;&#36777;\&#20316;&#2227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6087;&#21150;&#20844;&#30005;&#33041;\&#26412;&#22320;&#30913;&#30424;\&#25104;&#26524;\&#26631;&#20934;\2023&#22320;&#26041;&#26631;&#20934;\2023&#26631;&#20934;&#30003;&#25253;\&#31435;&#39033;&#31572;&#36777;\&#20316;&#2227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F:\&#26087;&#21150;&#20844;&#30005;&#33041;\&#26412;&#22320;&#30913;&#30424;\&#25104;&#26524;\&#26631;&#20934;\2023&#22320;&#26041;&#26631;&#20934;\2023&#26631;&#20934;&#30003;&#25253;\&#31435;&#39033;&#31572;&#36777;\&#20316;&#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483814523184"/>
          <c:y val="0.0994226579520692"/>
          <c:w val="0.834571741032371"/>
          <c:h val="0.747113954505687"/>
        </c:manualLayout>
      </c:layout>
      <c:lineChart>
        <c:grouping val="standard"/>
        <c:varyColors val="0"/>
        <c:ser>
          <c:idx val="0"/>
          <c:order val="0"/>
          <c:tx>
            <c:strRef>
              <c:f>[作图.xlsx]堆体!$C$3</c:f>
              <c:strCache>
                <c:ptCount val="1"/>
                <c:pt idx="0">
                  <c:v>20</c:v>
                </c:pt>
              </c:strCache>
            </c:strRef>
          </c:tx>
          <c:spPr>
            <a:ln w="28575" cap="rnd">
              <a:solidFill>
                <a:srgbClr val="4F81BD"/>
              </a:solidFill>
              <a:round/>
            </a:ln>
            <a:effectLst/>
          </c:spPr>
          <c:marker>
            <c:symbol val="circle"/>
            <c:size val="5"/>
            <c:spPr>
              <a:solidFill>
                <a:srgbClr val="4F81BD"/>
              </a:solidFill>
              <a:ln w="9525">
                <a:solidFill>
                  <a:srgbClr val="4F81BD"/>
                </a:solidFill>
              </a:ln>
              <a:effectLst/>
            </c:spPr>
          </c:marker>
          <c:dLbls>
            <c:delete val="1"/>
          </c:dLbls>
          <c:cat>
            <c:numRef>
              <c:f>[作图.xlsx]堆体!$B$4:$B$10</c:f>
              <c:numCache>
                <c:formatCode>General</c:formatCode>
                <c:ptCount val="7"/>
                <c:pt idx="0">
                  <c:v>1</c:v>
                </c:pt>
                <c:pt idx="1">
                  <c:v>5</c:v>
                </c:pt>
                <c:pt idx="2">
                  <c:v>15</c:v>
                </c:pt>
                <c:pt idx="3">
                  <c:v>25</c:v>
                </c:pt>
                <c:pt idx="4">
                  <c:v>35</c:v>
                </c:pt>
                <c:pt idx="5">
                  <c:v>45</c:v>
                </c:pt>
                <c:pt idx="6">
                  <c:v>55</c:v>
                </c:pt>
              </c:numCache>
            </c:numRef>
          </c:cat>
          <c:val>
            <c:numRef>
              <c:f>[作图.xlsx]堆体!$C$4:$C$10</c:f>
              <c:numCache>
                <c:formatCode>0_ </c:formatCode>
                <c:ptCount val="7"/>
                <c:pt idx="0">
                  <c:v>22</c:v>
                </c:pt>
                <c:pt idx="1">
                  <c:v>51</c:v>
                </c:pt>
                <c:pt idx="2">
                  <c:v>60</c:v>
                </c:pt>
                <c:pt idx="3">
                  <c:v>65</c:v>
                </c:pt>
                <c:pt idx="4">
                  <c:v>58</c:v>
                </c:pt>
                <c:pt idx="5">
                  <c:v>48</c:v>
                </c:pt>
                <c:pt idx="6">
                  <c:v>33</c:v>
                </c:pt>
              </c:numCache>
            </c:numRef>
          </c:val>
          <c:smooth val="0"/>
        </c:ser>
        <c:ser>
          <c:idx val="1"/>
          <c:order val="1"/>
          <c:tx>
            <c:strRef>
              <c:f>[作图.xlsx]堆体!$D$3</c:f>
              <c:strCache>
                <c:ptCount val="1"/>
                <c:pt idx="0">
                  <c:v>25</c:v>
                </c:pt>
              </c:strCache>
            </c:strRef>
          </c:tx>
          <c:spPr>
            <a:ln w="28575" cap="rnd">
              <a:solidFill>
                <a:srgbClr val="C0504D"/>
              </a:solidFill>
              <a:round/>
            </a:ln>
            <a:effectLst/>
          </c:spPr>
          <c:marker>
            <c:symbol val="circle"/>
            <c:size val="5"/>
            <c:spPr>
              <a:solidFill>
                <a:srgbClr val="C0504D"/>
              </a:solidFill>
              <a:ln w="9525">
                <a:solidFill>
                  <a:srgbClr val="C0504D"/>
                </a:solidFill>
              </a:ln>
              <a:effectLst/>
            </c:spPr>
          </c:marker>
          <c:dLbls>
            <c:delete val="1"/>
          </c:dLbls>
          <c:cat>
            <c:numRef>
              <c:f>[作图.xlsx]堆体!$B$4:$B$10</c:f>
              <c:numCache>
                <c:formatCode>General</c:formatCode>
                <c:ptCount val="7"/>
                <c:pt idx="0">
                  <c:v>1</c:v>
                </c:pt>
                <c:pt idx="1">
                  <c:v>5</c:v>
                </c:pt>
                <c:pt idx="2">
                  <c:v>15</c:v>
                </c:pt>
                <c:pt idx="3">
                  <c:v>25</c:v>
                </c:pt>
                <c:pt idx="4">
                  <c:v>35</c:v>
                </c:pt>
                <c:pt idx="5">
                  <c:v>45</c:v>
                </c:pt>
                <c:pt idx="6">
                  <c:v>55</c:v>
                </c:pt>
              </c:numCache>
            </c:numRef>
          </c:cat>
          <c:val>
            <c:numRef>
              <c:f>[作图.xlsx]堆体!$D$4:$D$10</c:f>
              <c:numCache>
                <c:formatCode>0_ </c:formatCode>
                <c:ptCount val="7"/>
                <c:pt idx="0">
                  <c:v>24</c:v>
                </c:pt>
                <c:pt idx="1">
                  <c:v>60</c:v>
                </c:pt>
                <c:pt idx="2">
                  <c:v>72</c:v>
                </c:pt>
                <c:pt idx="3">
                  <c:v>70</c:v>
                </c:pt>
                <c:pt idx="4">
                  <c:v>61</c:v>
                </c:pt>
                <c:pt idx="5">
                  <c:v>53</c:v>
                </c:pt>
                <c:pt idx="6">
                  <c:v>41</c:v>
                </c:pt>
              </c:numCache>
            </c:numRef>
          </c:val>
          <c:smooth val="0"/>
        </c:ser>
        <c:ser>
          <c:idx val="2"/>
          <c:order val="2"/>
          <c:tx>
            <c:strRef>
              <c:f>[作图.xlsx]堆体!$E$3</c:f>
              <c:strCache>
                <c:ptCount val="1"/>
                <c:pt idx="0">
                  <c:v>30</c:v>
                </c:pt>
              </c:strCache>
            </c:strRef>
          </c:tx>
          <c:spPr>
            <a:ln w="28575" cap="rnd">
              <a:solidFill>
                <a:srgbClr val="9BBB59"/>
              </a:solidFill>
              <a:round/>
            </a:ln>
            <a:effectLst/>
          </c:spPr>
          <c:marker>
            <c:symbol val="circle"/>
            <c:size val="5"/>
            <c:spPr>
              <a:solidFill>
                <a:srgbClr val="9BBB59"/>
              </a:solidFill>
              <a:ln w="9525">
                <a:solidFill>
                  <a:srgbClr val="9BBB59"/>
                </a:solidFill>
              </a:ln>
              <a:effectLst/>
            </c:spPr>
          </c:marker>
          <c:dLbls>
            <c:delete val="1"/>
          </c:dLbls>
          <c:cat>
            <c:numRef>
              <c:f>[作图.xlsx]堆体!$B$4:$B$10</c:f>
              <c:numCache>
                <c:formatCode>General</c:formatCode>
                <c:ptCount val="7"/>
                <c:pt idx="0">
                  <c:v>1</c:v>
                </c:pt>
                <c:pt idx="1">
                  <c:v>5</c:v>
                </c:pt>
                <c:pt idx="2">
                  <c:v>15</c:v>
                </c:pt>
                <c:pt idx="3">
                  <c:v>25</c:v>
                </c:pt>
                <c:pt idx="4">
                  <c:v>35</c:v>
                </c:pt>
                <c:pt idx="5">
                  <c:v>45</c:v>
                </c:pt>
                <c:pt idx="6">
                  <c:v>55</c:v>
                </c:pt>
              </c:numCache>
            </c:numRef>
          </c:cat>
          <c:val>
            <c:numRef>
              <c:f>[作图.xlsx]堆体!$E$4:$E$10</c:f>
              <c:numCache>
                <c:formatCode>0_ </c:formatCode>
                <c:ptCount val="7"/>
                <c:pt idx="0">
                  <c:v>24.5</c:v>
                </c:pt>
                <c:pt idx="1">
                  <c:v>68</c:v>
                </c:pt>
                <c:pt idx="2">
                  <c:v>72</c:v>
                </c:pt>
                <c:pt idx="3">
                  <c:v>70</c:v>
                </c:pt>
                <c:pt idx="4">
                  <c:v>63</c:v>
                </c:pt>
                <c:pt idx="5">
                  <c:v>54</c:v>
                </c:pt>
                <c:pt idx="6">
                  <c:v>44</c:v>
                </c:pt>
              </c:numCache>
            </c:numRef>
          </c:val>
          <c:smooth val="0"/>
        </c:ser>
        <c:ser>
          <c:idx val="3"/>
          <c:order val="3"/>
          <c:tx>
            <c:strRef>
              <c:f>[作图.xlsx]堆体!$F$3</c:f>
              <c:strCache>
                <c:ptCount val="1"/>
                <c:pt idx="0">
                  <c:v>35</c:v>
                </c:pt>
              </c:strCache>
            </c:strRef>
          </c:tx>
          <c:spPr>
            <a:ln w="28575" cap="rnd">
              <a:solidFill>
                <a:srgbClr val="8064A2"/>
              </a:solidFill>
              <a:round/>
            </a:ln>
            <a:effectLst/>
          </c:spPr>
          <c:marker>
            <c:symbol val="circle"/>
            <c:size val="5"/>
            <c:spPr>
              <a:solidFill>
                <a:srgbClr val="8064A2"/>
              </a:solidFill>
              <a:ln w="9525">
                <a:solidFill>
                  <a:srgbClr val="8064A2"/>
                </a:solidFill>
              </a:ln>
              <a:effectLst/>
            </c:spPr>
          </c:marker>
          <c:dLbls>
            <c:delete val="1"/>
          </c:dLbls>
          <c:cat>
            <c:numRef>
              <c:f>[作图.xlsx]堆体!$B$4:$B$10</c:f>
              <c:numCache>
                <c:formatCode>General</c:formatCode>
                <c:ptCount val="7"/>
                <c:pt idx="0">
                  <c:v>1</c:v>
                </c:pt>
                <c:pt idx="1">
                  <c:v>5</c:v>
                </c:pt>
                <c:pt idx="2">
                  <c:v>15</c:v>
                </c:pt>
                <c:pt idx="3">
                  <c:v>25</c:v>
                </c:pt>
                <c:pt idx="4">
                  <c:v>35</c:v>
                </c:pt>
                <c:pt idx="5">
                  <c:v>45</c:v>
                </c:pt>
                <c:pt idx="6">
                  <c:v>55</c:v>
                </c:pt>
              </c:numCache>
            </c:numRef>
          </c:cat>
          <c:val>
            <c:numRef>
              <c:f>[作图.xlsx]堆体!$F$4:$F$10</c:f>
              <c:numCache>
                <c:formatCode>0_ </c:formatCode>
                <c:ptCount val="7"/>
                <c:pt idx="0">
                  <c:v>22</c:v>
                </c:pt>
                <c:pt idx="1">
                  <c:v>62</c:v>
                </c:pt>
                <c:pt idx="2">
                  <c:v>68</c:v>
                </c:pt>
                <c:pt idx="3">
                  <c:v>67</c:v>
                </c:pt>
                <c:pt idx="4">
                  <c:v>54</c:v>
                </c:pt>
                <c:pt idx="5">
                  <c:v>39</c:v>
                </c:pt>
                <c:pt idx="6">
                  <c:v>32</c:v>
                </c:pt>
              </c:numCache>
            </c:numRef>
          </c:val>
          <c:smooth val="0"/>
        </c:ser>
        <c:dLbls>
          <c:showLegendKey val="0"/>
          <c:showVal val="0"/>
          <c:showCatName val="0"/>
          <c:showSerName val="0"/>
          <c:showPercent val="0"/>
          <c:showBubbleSize val="0"/>
        </c:dLbls>
        <c:marker val="1"/>
        <c:smooth val="0"/>
        <c:axId val="717127744"/>
        <c:axId val="717128464"/>
      </c:lineChart>
      <c:catAx>
        <c:axId val="717127744"/>
        <c:scaling>
          <c:orientation val="minMax"/>
        </c:scaling>
        <c:delete val="0"/>
        <c:axPos val="b"/>
        <c:title>
          <c:tx>
            <c:rich>
              <a:bodyPr rot="0" spcFirstLastPara="1" vertOverflow="ellipsis" vert="horz" wrap="square" anchor="ctr" anchorCtr="1"/>
              <a:lstStyle/>
              <a:p>
                <a:pPr>
                  <a:defRPr lang="zh-CN" sz="1000" b="0" i="0" u="none" strike="noStrike" kern="1200" baseline="0">
                    <a:solidFill>
                      <a:srgbClr val="595959">
                        <a:lumMod val="65000"/>
                        <a:lumOff val="35000"/>
                      </a:srgbClr>
                    </a:solidFill>
                    <a:latin typeface="+mn-lt"/>
                    <a:ea typeface="+mn-ea"/>
                    <a:cs typeface="+mn-cs"/>
                  </a:defRPr>
                </a:pPr>
                <a:r>
                  <a:rPr lang="zh-CN" altLang="en-US"/>
                  <a:t>时间</a:t>
                </a:r>
                <a:r>
                  <a:rPr lang="en-US" altLang="zh-CN"/>
                  <a:t>/d</a:t>
                </a:r>
                <a:endParaRPr lang="zh-CN" altLang="en-US"/>
              </a:p>
            </c:rich>
          </c:tx>
          <c:layout>
            <c:manualLayout>
              <c:xMode val="edge"/>
              <c:yMode val="edge"/>
              <c:x val="0.872832020997375"/>
              <c:y val="0.914698527267425"/>
            </c:manualLayout>
          </c:layout>
          <c:overlay val="0"/>
          <c:spPr>
            <a:noFill/>
            <a:ln>
              <a:noFill/>
            </a:ln>
            <a:effectLst/>
          </c:spPr>
        </c:title>
        <c:numFmt formatCode="General" sourceLinked="1"/>
        <c:majorTickMark val="none"/>
        <c:minorTickMark val="none"/>
        <c:tickLblPos val="nextTo"/>
        <c:spPr>
          <a:noFill/>
          <a:ln w="9525" cap="flat" cmpd="sng" algn="ctr">
            <a:solidFill>
              <a:srgbClr val="000000"/>
            </a:solidFill>
            <a:round/>
          </a:ln>
          <a:effectLst/>
        </c:spPr>
        <c:txPr>
          <a:bodyPr rot="-60000000" spcFirstLastPara="1" vertOverflow="ellipsis" vert="horz" wrap="square" anchor="ctr" anchorCtr="1"/>
          <a:lstStyle/>
          <a:p>
            <a:pPr>
              <a:defRPr lang="zh-CN" sz="1050" b="0" i="0" u="none" strike="noStrike" kern="1200" baseline="0">
                <a:solidFill>
                  <a:srgbClr val="595959">
                    <a:lumMod val="65000"/>
                    <a:lumOff val="35000"/>
                  </a:srgbClr>
                </a:solidFill>
                <a:latin typeface="+mn-lt"/>
                <a:ea typeface="+mn-ea"/>
                <a:cs typeface="+mn-cs"/>
              </a:defRPr>
            </a:pPr>
          </a:p>
        </c:txPr>
        <c:crossAx val="717128464"/>
        <c:crosses val="autoZero"/>
        <c:auto val="1"/>
        <c:lblAlgn val="ctr"/>
        <c:lblOffset val="100"/>
        <c:noMultiLvlLbl val="0"/>
      </c:catAx>
      <c:valAx>
        <c:axId val="717128464"/>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rgbClr val="595959">
                        <a:lumMod val="65000"/>
                        <a:lumOff val="35000"/>
                      </a:srgbClr>
                    </a:solidFill>
                    <a:latin typeface="+mn-lt"/>
                    <a:ea typeface="+mn-ea"/>
                    <a:cs typeface="+mn-cs"/>
                  </a:defRPr>
                </a:pPr>
                <a:r>
                  <a:rPr lang="zh-CN" altLang="en-US"/>
                  <a:t>堆体温度（</a:t>
                </a:r>
                <a:r>
                  <a:rPr lang="zh-CN" altLang="zh-CN" sz="1000" b="0" i="0" u="none" strike="noStrike" baseline="0">
                    <a:effectLst/>
                  </a:rPr>
                  <a:t>℃</a:t>
                </a:r>
                <a:r>
                  <a:rPr lang="zh-CN" altLang="en-US" sz="1000" b="0" i="0" u="none" strike="noStrike" baseline="0">
                    <a:effectLst/>
                  </a:rPr>
                  <a:t>）</a:t>
                </a:r>
                <a:endParaRPr lang="zh-CN" altLang="en-US"/>
              </a:p>
            </c:rich>
          </c:tx>
          <c:layout/>
          <c:overlay val="0"/>
          <c:spPr>
            <a:noFill/>
            <a:ln>
              <a:noFill/>
            </a:ln>
            <a:effectLst/>
          </c:spPr>
        </c:title>
        <c:numFmt formatCode="0_ " sourceLinked="1"/>
        <c:majorTickMark val="none"/>
        <c:minorTickMark val="none"/>
        <c:tickLblPos val="nextTo"/>
        <c:spPr>
          <a:noFill/>
          <a:ln>
            <a:solidFill>
              <a:srgbClr val="000000"/>
            </a:solidFill>
          </a:ln>
          <a:effectLst/>
        </c:spPr>
        <c:txPr>
          <a:bodyPr rot="-60000000" spcFirstLastPara="1" vertOverflow="ellipsis" vert="horz" wrap="square" anchor="ctr" anchorCtr="1"/>
          <a:lstStyle/>
          <a:p>
            <a:pPr>
              <a:defRPr lang="zh-CN" sz="1050" b="0" i="0" u="none" strike="noStrike" kern="1200" baseline="0">
                <a:solidFill>
                  <a:srgbClr val="595959">
                    <a:lumMod val="65000"/>
                    <a:lumOff val="35000"/>
                  </a:srgbClr>
                </a:solidFill>
                <a:latin typeface="+mn-lt"/>
                <a:ea typeface="+mn-ea"/>
                <a:cs typeface="+mn-cs"/>
              </a:defRPr>
            </a:pPr>
          </a:p>
        </c:txPr>
        <c:crossAx val="717127744"/>
        <c:crosses val="autoZero"/>
        <c:crossBetween val="between"/>
      </c:valAx>
      <c:spPr>
        <a:noFill/>
        <a:ln>
          <a:noFill/>
        </a:ln>
        <a:effectLst/>
      </c:spPr>
    </c:plotArea>
    <c:legend>
      <c:legendPos val="b"/>
      <c:layout>
        <c:manualLayout>
          <c:xMode val="edge"/>
          <c:yMode val="edge"/>
          <c:x val="0.285566491688539"/>
          <c:y val="0.644096675415573"/>
          <c:w val="0.567755905511811"/>
          <c:h val="0.105903324584427"/>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extLst>
      <c:ext uri="{0b15fc19-7d7d-44ad-8c2d-2c3a37ce22c3}">
        <chartProps xmlns="https://web.wps.cn/et/2018/main" chartId="{ce0a10a9-f670-49c4-8a3d-622c7c2238b1}"/>
      </c:ext>
    </c:extLst>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872703412073"/>
          <c:y val="0.106481481481481"/>
          <c:w val="0.834571741032371"/>
          <c:h val="0.728595435987168"/>
        </c:manualLayout>
      </c:layout>
      <c:lineChart>
        <c:grouping val="standard"/>
        <c:varyColors val="0"/>
        <c:ser>
          <c:idx val="0"/>
          <c:order val="0"/>
          <c:tx>
            <c:strRef>
              <c:f>[作图.xlsx]堆体!$C$18</c:f>
              <c:strCache>
                <c:ptCount val="1"/>
                <c:pt idx="0">
                  <c:v>20</c:v>
                </c:pt>
              </c:strCache>
            </c:strRef>
          </c:tx>
          <c:spPr>
            <a:ln w="28575" cap="rnd">
              <a:solidFill>
                <a:srgbClr val="4F81BD"/>
              </a:solidFill>
              <a:round/>
            </a:ln>
            <a:effectLst/>
          </c:spPr>
          <c:marker>
            <c:symbol val="circle"/>
            <c:size val="5"/>
            <c:spPr>
              <a:solidFill>
                <a:srgbClr val="4F81BD"/>
              </a:solidFill>
              <a:ln w="9525">
                <a:solidFill>
                  <a:srgbClr val="4F81BD"/>
                </a:solidFill>
              </a:ln>
              <a:effectLst/>
            </c:spPr>
          </c:marker>
          <c:dLbls>
            <c:delete val="1"/>
          </c:dLbls>
          <c:cat>
            <c:numRef>
              <c:f>[作图.xlsx]堆体!$B$19:$B$25</c:f>
              <c:numCache>
                <c:formatCode>General</c:formatCode>
                <c:ptCount val="7"/>
                <c:pt idx="0">
                  <c:v>1</c:v>
                </c:pt>
                <c:pt idx="1">
                  <c:v>5</c:v>
                </c:pt>
                <c:pt idx="2">
                  <c:v>15</c:v>
                </c:pt>
                <c:pt idx="3">
                  <c:v>25</c:v>
                </c:pt>
                <c:pt idx="4">
                  <c:v>35</c:v>
                </c:pt>
                <c:pt idx="5">
                  <c:v>45</c:v>
                </c:pt>
                <c:pt idx="6">
                  <c:v>55</c:v>
                </c:pt>
              </c:numCache>
            </c:numRef>
          </c:cat>
          <c:val>
            <c:numRef>
              <c:f>[作图.xlsx]堆体!$C$19:$C$25</c:f>
              <c:numCache>
                <c:formatCode>General</c:formatCode>
                <c:ptCount val="7"/>
                <c:pt idx="0">
                  <c:v>133.16</c:v>
                </c:pt>
                <c:pt idx="1">
                  <c:v>133.02</c:v>
                </c:pt>
                <c:pt idx="2">
                  <c:v>128.55</c:v>
                </c:pt>
                <c:pt idx="3">
                  <c:v>113.21</c:v>
                </c:pt>
                <c:pt idx="4">
                  <c:v>95.13</c:v>
                </c:pt>
                <c:pt idx="5">
                  <c:v>62.06</c:v>
                </c:pt>
                <c:pt idx="6">
                  <c:v>45.28</c:v>
                </c:pt>
              </c:numCache>
            </c:numRef>
          </c:val>
          <c:smooth val="0"/>
        </c:ser>
        <c:ser>
          <c:idx val="1"/>
          <c:order val="1"/>
          <c:tx>
            <c:strRef>
              <c:f>[作图.xlsx]堆体!$D$18</c:f>
              <c:strCache>
                <c:ptCount val="1"/>
                <c:pt idx="0">
                  <c:v>25</c:v>
                </c:pt>
              </c:strCache>
            </c:strRef>
          </c:tx>
          <c:spPr>
            <a:ln w="28575" cap="rnd">
              <a:solidFill>
                <a:srgbClr val="C0504D"/>
              </a:solidFill>
              <a:round/>
            </a:ln>
            <a:effectLst/>
          </c:spPr>
          <c:marker>
            <c:symbol val="circle"/>
            <c:size val="5"/>
            <c:spPr>
              <a:solidFill>
                <a:srgbClr val="C0504D"/>
              </a:solidFill>
              <a:ln w="9525">
                <a:solidFill>
                  <a:srgbClr val="C0504D"/>
                </a:solidFill>
              </a:ln>
              <a:effectLst/>
            </c:spPr>
          </c:marker>
          <c:dLbls>
            <c:delete val="1"/>
          </c:dLbls>
          <c:cat>
            <c:numRef>
              <c:f>[作图.xlsx]堆体!$B$19:$B$25</c:f>
              <c:numCache>
                <c:formatCode>General</c:formatCode>
                <c:ptCount val="7"/>
                <c:pt idx="0">
                  <c:v>1</c:v>
                </c:pt>
                <c:pt idx="1">
                  <c:v>5</c:v>
                </c:pt>
                <c:pt idx="2">
                  <c:v>15</c:v>
                </c:pt>
                <c:pt idx="3">
                  <c:v>25</c:v>
                </c:pt>
                <c:pt idx="4">
                  <c:v>35</c:v>
                </c:pt>
                <c:pt idx="5">
                  <c:v>45</c:v>
                </c:pt>
                <c:pt idx="6">
                  <c:v>55</c:v>
                </c:pt>
              </c:numCache>
            </c:numRef>
          </c:cat>
          <c:val>
            <c:numRef>
              <c:f>[作图.xlsx]堆体!$D$19:$D$25</c:f>
              <c:numCache>
                <c:formatCode>General</c:formatCode>
                <c:ptCount val="7"/>
                <c:pt idx="0">
                  <c:v>133.16</c:v>
                </c:pt>
                <c:pt idx="1">
                  <c:v>129.34</c:v>
                </c:pt>
                <c:pt idx="2">
                  <c:v>108.25</c:v>
                </c:pt>
                <c:pt idx="3">
                  <c:v>95.51</c:v>
                </c:pt>
                <c:pt idx="4">
                  <c:v>82.7</c:v>
                </c:pt>
                <c:pt idx="5">
                  <c:v>51.35</c:v>
                </c:pt>
                <c:pt idx="6">
                  <c:v>21.54</c:v>
                </c:pt>
              </c:numCache>
            </c:numRef>
          </c:val>
          <c:smooth val="0"/>
        </c:ser>
        <c:ser>
          <c:idx val="2"/>
          <c:order val="2"/>
          <c:tx>
            <c:strRef>
              <c:f>[作图.xlsx]堆体!$E$18</c:f>
              <c:strCache>
                <c:ptCount val="1"/>
                <c:pt idx="0">
                  <c:v>30</c:v>
                </c:pt>
              </c:strCache>
            </c:strRef>
          </c:tx>
          <c:spPr>
            <a:ln w="28575" cap="rnd">
              <a:solidFill>
                <a:srgbClr val="9BBB59"/>
              </a:solidFill>
              <a:round/>
            </a:ln>
            <a:effectLst/>
          </c:spPr>
          <c:marker>
            <c:symbol val="circle"/>
            <c:size val="5"/>
            <c:spPr>
              <a:solidFill>
                <a:srgbClr val="9BBB59"/>
              </a:solidFill>
              <a:ln w="9525">
                <a:solidFill>
                  <a:srgbClr val="9BBB59"/>
                </a:solidFill>
              </a:ln>
              <a:effectLst/>
            </c:spPr>
          </c:marker>
          <c:dLbls>
            <c:delete val="1"/>
          </c:dLbls>
          <c:cat>
            <c:numRef>
              <c:f>[作图.xlsx]堆体!$B$19:$B$25</c:f>
              <c:numCache>
                <c:formatCode>General</c:formatCode>
                <c:ptCount val="7"/>
                <c:pt idx="0">
                  <c:v>1</c:v>
                </c:pt>
                <c:pt idx="1">
                  <c:v>5</c:v>
                </c:pt>
                <c:pt idx="2">
                  <c:v>15</c:v>
                </c:pt>
                <c:pt idx="3">
                  <c:v>25</c:v>
                </c:pt>
                <c:pt idx="4">
                  <c:v>35</c:v>
                </c:pt>
                <c:pt idx="5">
                  <c:v>45</c:v>
                </c:pt>
                <c:pt idx="6">
                  <c:v>55</c:v>
                </c:pt>
              </c:numCache>
            </c:numRef>
          </c:cat>
          <c:val>
            <c:numRef>
              <c:f>[作图.xlsx]堆体!$E$19:$E$25</c:f>
              <c:numCache>
                <c:formatCode>General</c:formatCode>
                <c:ptCount val="7"/>
                <c:pt idx="0">
                  <c:v>133.16</c:v>
                </c:pt>
                <c:pt idx="1">
                  <c:v>128.12</c:v>
                </c:pt>
                <c:pt idx="2">
                  <c:v>106.68</c:v>
                </c:pt>
                <c:pt idx="3">
                  <c:v>96.21</c:v>
                </c:pt>
                <c:pt idx="4">
                  <c:v>78.56</c:v>
                </c:pt>
                <c:pt idx="5">
                  <c:v>52.46</c:v>
                </c:pt>
                <c:pt idx="6">
                  <c:v>20.32</c:v>
                </c:pt>
              </c:numCache>
            </c:numRef>
          </c:val>
          <c:smooth val="0"/>
        </c:ser>
        <c:ser>
          <c:idx val="3"/>
          <c:order val="3"/>
          <c:tx>
            <c:strRef>
              <c:f>[作图.xlsx]堆体!$F$18</c:f>
              <c:strCache>
                <c:ptCount val="1"/>
                <c:pt idx="0">
                  <c:v>35</c:v>
                </c:pt>
              </c:strCache>
            </c:strRef>
          </c:tx>
          <c:spPr>
            <a:ln w="28575" cap="rnd">
              <a:solidFill>
                <a:srgbClr val="8064A2"/>
              </a:solidFill>
              <a:round/>
            </a:ln>
            <a:effectLst/>
          </c:spPr>
          <c:marker>
            <c:symbol val="circle"/>
            <c:size val="5"/>
            <c:spPr>
              <a:solidFill>
                <a:srgbClr val="8064A2"/>
              </a:solidFill>
              <a:ln w="9525">
                <a:solidFill>
                  <a:srgbClr val="8064A2"/>
                </a:solidFill>
              </a:ln>
              <a:effectLst/>
            </c:spPr>
          </c:marker>
          <c:dLbls>
            <c:delete val="1"/>
          </c:dLbls>
          <c:cat>
            <c:numRef>
              <c:f>[作图.xlsx]堆体!$B$19:$B$25</c:f>
              <c:numCache>
                <c:formatCode>General</c:formatCode>
                <c:ptCount val="7"/>
                <c:pt idx="0">
                  <c:v>1</c:v>
                </c:pt>
                <c:pt idx="1">
                  <c:v>5</c:v>
                </c:pt>
                <c:pt idx="2">
                  <c:v>15</c:v>
                </c:pt>
                <c:pt idx="3">
                  <c:v>25</c:v>
                </c:pt>
                <c:pt idx="4">
                  <c:v>35</c:v>
                </c:pt>
                <c:pt idx="5">
                  <c:v>45</c:v>
                </c:pt>
                <c:pt idx="6">
                  <c:v>55</c:v>
                </c:pt>
              </c:numCache>
            </c:numRef>
          </c:cat>
          <c:val>
            <c:numRef>
              <c:f>[作图.xlsx]堆体!$F$19:$F$25</c:f>
              <c:numCache>
                <c:formatCode>General</c:formatCode>
                <c:ptCount val="7"/>
                <c:pt idx="0">
                  <c:v>133.16</c:v>
                </c:pt>
                <c:pt idx="1">
                  <c:v>131.37</c:v>
                </c:pt>
                <c:pt idx="2">
                  <c:v>115.4</c:v>
                </c:pt>
                <c:pt idx="3">
                  <c:v>99.78</c:v>
                </c:pt>
                <c:pt idx="4">
                  <c:v>89.83</c:v>
                </c:pt>
                <c:pt idx="5">
                  <c:v>59.83</c:v>
                </c:pt>
                <c:pt idx="6">
                  <c:v>33.13</c:v>
                </c:pt>
              </c:numCache>
            </c:numRef>
          </c:val>
          <c:smooth val="0"/>
        </c:ser>
        <c:dLbls>
          <c:showLegendKey val="0"/>
          <c:showVal val="0"/>
          <c:showCatName val="0"/>
          <c:showSerName val="0"/>
          <c:showPercent val="0"/>
          <c:showBubbleSize val="0"/>
        </c:dLbls>
        <c:marker val="1"/>
        <c:smooth val="0"/>
        <c:axId val="717127744"/>
        <c:axId val="717128464"/>
      </c:lineChart>
      <c:catAx>
        <c:axId val="717127744"/>
        <c:scaling>
          <c:orientation val="minMax"/>
        </c:scaling>
        <c:delete val="0"/>
        <c:axPos val="b"/>
        <c:title>
          <c:tx>
            <c:rich>
              <a:bodyPr rot="0" spcFirstLastPara="1" vertOverflow="ellipsis" vert="horz" wrap="square" anchor="ctr" anchorCtr="1"/>
              <a:lstStyle/>
              <a:p>
                <a:pPr>
                  <a:defRPr lang="zh-CN" sz="1000" b="0" i="0" u="none" strike="noStrike" kern="1200" baseline="0">
                    <a:solidFill>
                      <a:srgbClr val="595959">
                        <a:lumMod val="65000"/>
                        <a:lumOff val="35000"/>
                      </a:srgbClr>
                    </a:solidFill>
                    <a:latin typeface="+mn-lt"/>
                    <a:ea typeface="+mn-ea"/>
                    <a:cs typeface="+mn-cs"/>
                  </a:defRPr>
                </a:pPr>
                <a:r>
                  <a:rPr lang="zh-CN" altLang="en-US"/>
                  <a:t>时间</a:t>
                </a:r>
                <a:r>
                  <a:rPr lang="en-US" altLang="zh-CN"/>
                  <a:t>/d</a:t>
                </a:r>
                <a:endParaRPr lang="zh-CN" altLang="en-US"/>
              </a:p>
            </c:rich>
          </c:tx>
          <c:layout>
            <c:manualLayout>
              <c:xMode val="edge"/>
              <c:yMode val="edge"/>
              <c:x val="0.886720909886264"/>
              <c:y val="0.914698527267425"/>
            </c:manualLayout>
          </c:layout>
          <c:overlay val="0"/>
          <c:spPr>
            <a:noFill/>
            <a:ln>
              <a:noFill/>
            </a:ln>
            <a:effectLst/>
          </c:spPr>
        </c:title>
        <c:numFmt formatCode="General" sourceLinked="1"/>
        <c:majorTickMark val="none"/>
        <c:minorTickMark val="none"/>
        <c:tickLblPos val="nextTo"/>
        <c:spPr>
          <a:noFill/>
          <a:ln w="9525" cap="flat" cmpd="sng" algn="ctr">
            <a:solidFill>
              <a:srgbClr val="000000"/>
            </a:solidFill>
            <a:round/>
          </a:ln>
          <a:effectLst/>
        </c:spPr>
        <c:txPr>
          <a:bodyPr rot="-60000000" spcFirstLastPara="1" vertOverflow="ellipsis" vert="horz" wrap="square" anchor="ctr" anchorCtr="1"/>
          <a:lstStyle/>
          <a:p>
            <a:pPr>
              <a:defRPr lang="zh-CN" sz="1050" b="0" i="0" u="none" strike="noStrike" kern="1200" baseline="0">
                <a:solidFill>
                  <a:srgbClr val="595959">
                    <a:lumMod val="65000"/>
                    <a:lumOff val="35000"/>
                  </a:srgbClr>
                </a:solidFill>
                <a:latin typeface="+mn-lt"/>
                <a:ea typeface="+mn-ea"/>
                <a:cs typeface="+mn-cs"/>
              </a:defRPr>
            </a:pPr>
          </a:p>
        </c:txPr>
        <c:crossAx val="717128464"/>
        <c:crosses val="autoZero"/>
        <c:auto val="1"/>
        <c:lblAlgn val="ctr"/>
        <c:lblOffset val="100"/>
        <c:noMultiLvlLbl val="0"/>
      </c:catAx>
      <c:valAx>
        <c:axId val="717128464"/>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rgbClr val="595959">
                        <a:lumMod val="65000"/>
                        <a:lumOff val="35000"/>
                      </a:srgbClr>
                    </a:solidFill>
                    <a:latin typeface="+mn-lt"/>
                    <a:ea typeface="+mn-ea"/>
                    <a:cs typeface="+mn-cs"/>
                  </a:defRPr>
                </a:pPr>
                <a:r>
                  <a:rPr lang="zh-CN" altLang="en-US"/>
                  <a:t>秸秆拉力（</a:t>
                </a:r>
                <a:r>
                  <a:rPr lang="en-US" altLang="zh-CN"/>
                  <a:t>N)</a:t>
                </a:r>
                <a:endParaRPr lang="zh-CN" altLang="en-US"/>
              </a:p>
            </c:rich>
          </c:tx>
          <c:layout/>
          <c:overlay val="0"/>
          <c:spPr>
            <a:noFill/>
            <a:ln>
              <a:noFill/>
            </a:ln>
            <a:effectLst/>
          </c:spPr>
        </c:title>
        <c:numFmt formatCode="General" sourceLinked="1"/>
        <c:majorTickMark val="none"/>
        <c:minorTickMark val="none"/>
        <c:tickLblPos val="nextTo"/>
        <c:spPr>
          <a:noFill/>
          <a:ln>
            <a:solidFill>
              <a:srgbClr val="000000"/>
            </a:solidFill>
          </a:ln>
          <a:effectLst/>
        </c:spPr>
        <c:txPr>
          <a:bodyPr rot="-60000000" spcFirstLastPara="1" vertOverflow="ellipsis" vert="horz" wrap="square" anchor="ctr" anchorCtr="1"/>
          <a:lstStyle/>
          <a:p>
            <a:pPr>
              <a:defRPr lang="zh-CN" sz="1050" b="0" i="0" u="none" strike="noStrike" kern="1200" baseline="0">
                <a:solidFill>
                  <a:srgbClr val="595959">
                    <a:lumMod val="65000"/>
                    <a:lumOff val="35000"/>
                  </a:srgbClr>
                </a:solidFill>
                <a:latin typeface="+mn-lt"/>
                <a:ea typeface="+mn-ea"/>
                <a:cs typeface="+mn-cs"/>
              </a:defRPr>
            </a:pPr>
          </a:p>
        </c:txPr>
        <c:crossAx val="717127744"/>
        <c:crosses val="autoZero"/>
        <c:crossBetween val="between"/>
      </c:valAx>
      <c:spPr>
        <a:noFill/>
        <a:ln>
          <a:noFill/>
        </a:ln>
        <a:effectLst/>
      </c:spPr>
    </c:plotArea>
    <c:legend>
      <c:legendPos val="b"/>
      <c:layout>
        <c:manualLayout>
          <c:xMode val="edge"/>
          <c:yMode val="edge"/>
          <c:x val="0.285566491688539"/>
          <c:y val="0.644096675415573"/>
          <c:w val="0.567755905511811"/>
          <c:h val="0.105903324584427"/>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extLst>
      <c:ext uri="{0b15fc19-7d7d-44ad-8c2d-2c3a37ce22c3}">
        <chartProps xmlns="https://web.wps.cn/et/2018/main" chartId="{f02c74e6-8d67-4627-a49c-8f8c77f03160}"/>
      </c:ext>
    </c:extLst>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872703412073"/>
          <c:y val="0.106481481481481"/>
          <c:w val="0.834571741032371"/>
          <c:h val="0.70081765820939"/>
        </c:manualLayout>
      </c:layout>
      <c:lineChart>
        <c:grouping val="standard"/>
        <c:varyColors val="0"/>
        <c:ser>
          <c:idx val="0"/>
          <c:order val="0"/>
          <c:tx>
            <c:strRef>
              <c:f>[作图.xlsx]堆体!$C$32</c:f>
              <c:strCache>
                <c:ptCount val="1"/>
                <c:pt idx="0">
                  <c:v>20</c:v>
                </c:pt>
              </c:strCache>
            </c:strRef>
          </c:tx>
          <c:spPr>
            <a:ln w="28575" cap="rnd">
              <a:solidFill>
                <a:srgbClr val="4F81BD"/>
              </a:solidFill>
              <a:round/>
            </a:ln>
            <a:effectLst/>
          </c:spPr>
          <c:marker>
            <c:symbol val="circle"/>
            <c:size val="5"/>
            <c:spPr>
              <a:solidFill>
                <a:srgbClr val="4F81BD"/>
              </a:solidFill>
              <a:ln w="9525">
                <a:solidFill>
                  <a:srgbClr val="4F81BD"/>
                </a:solidFill>
              </a:ln>
              <a:effectLst/>
            </c:spPr>
          </c:marker>
          <c:dLbls>
            <c:delete val="1"/>
          </c:dLbls>
          <c:cat>
            <c:numRef>
              <c:f>[作图.xlsx]堆体!$B$33:$B$38</c:f>
              <c:numCache>
                <c:formatCode>General</c:formatCode>
                <c:ptCount val="6"/>
                <c:pt idx="0">
                  <c:v>5</c:v>
                </c:pt>
                <c:pt idx="1">
                  <c:v>15</c:v>
                </c:pt>
                <c:pt idx="2">
                  <c:v>25</c:v>
                </c:pt>
                <c:pt idx="3">
                  <c:v>35</c:v>
                </c:pt>
                <c:pt idx="4">
                  <c:v>45</c:v>
                </c:pt>
                <c:pt idx="5">
                  <c:v>55</c:v>
                </c:pt>
              </c:numCache>
            </c:numRef>
          </c:cat>
          <c:val>
            <c:numRef>
              <c:f>[作图.xlsx]堆体!$C$33:$C$38</c:f>
              <c:numCache>
                <c:formatCode>General</c:formatCode>
                <c:ptCount val="6"/>
                <c:pt idx="0">
                  <c:v>0</c:v>
                </c:pt>
                <c:pt idx="1">
                  <c:v>1.98</c:v>
                </c:pt>
                <c:pt idx="2">
                  <c:v>9.06</c:v>
                </c:pt>
                <c:pt idx="3">
                  <c:v>19.43</c:v>
                </c:pt>
                <c:pt idx="4">
                  <c:v>31.15</c:v>
                </c:pt>
                <c:pt idx="5">
                  <c:v>43.1</c:v>
                </c:pt>
              </c:numCache>
            </c:numRef>
          </c:val>
          <c:smooth val="0"/>
        </c:ser>
        <c:ser>
          <c:idx val="1"/>
          <c:order val="1"/>
          <c:tx>
            <c:strRef>
              <c:f>[作图.xlsx]堆体!$D$32</c:f>
              <c:strCache>
                <c:ptCount val="1"/>
                <c:pt idx="0">
                  <c:v>25</c:v>
                </c:pt>
              </c:strCache>
            </c:strRef>
          </c:tx>
          <c:spPr>
            <a:ln w="28575" cap="rnd">
              <a:solidFill>
                <a:srgbClr val="C0504D"/>
              </a:solidFill>
              <a:round/>
            </a:ln>
            <a:effectLst/>
          </c:spPr>
          <c:marker>
            <c:symbol val="circle"/>
            <c:size val="5"/>
            <c:spPr>
              <a:solidFill>
                <a:srgbClr val="C0504D"/>
              </a:solidFill>
              <a:ln w="9525">
                <a:solidFill>
                  <a:srgbClr val="C0504D"/>
                </a:solidFill>
              </a:ln>
              <a:effectLst/>
            </c:spPr>
          </c:marker>
          <c:dLbls>
            <c:delete val="1"/>
          </c:dLbls>
          <c:cat>
            <c:numRef>
              <c:f>[作图.xlsx]堆体!$B$33:$B$38</c:f>
              <c:numCache>
                <c:formatCode>General</c:formatCode>
                <c:ptCount val="6"/>
                <c:pt idx="0">
                  <c:v>5</c:v>
                </c:pt>
                <c:pt idx="1">
                  <c:v>15</c:v>
                </c:pt>
                <c:pt idx="2">
                  <c:v>25</c:v>
                </c:pt>
                <c:pt idx="3">
                  <c:v>35</c:v>
                </c:pt>
                <c:pt idx="4">
                  <c:v>45</c:v>
                </c:pt>
                <c:pt idx="5">
                  <c:v>55</c:v>
                </c:pt>
              </c:numCache>
            </c:numRef>
          </c:cat>
          <c:val>
            <c:numRef>
              <c:f>[作图.xlsx]堆体!$D$33:$D$38</c:f>
              <c:numCache>
                <c:formatCode>General</c:formatCode>
                <c:ptCount val="6"/>
                <c:pt idx="0">
                  <c:v>0</c:v>
                </c:pt>
                <c:pt idx="1">
                  <c:v>2.65</c:v>
                </c:pt>
                <c:pt idx="2">
                  <c:v>12.45</c:v>
                </c:pt>
                <c:pt idx="3">
                  <c:v>27.54</c:v>
                </c:pt>
                <c:pt idx="4">
                  <c:v>41.23</c:v>
                </c:pt>
                <c:pt idx="5">
                  <c:v>52.3</c:v>
                </c:pt>
              </c:numCache>
            </c:numRef>
          </c:val>
          <c:smooth val="0"/>
        </c:ser>
        <c:ser>
          <c:idx val="2"/>
          <c:order val="2"/>
          <c:tx>
            <c:strRef>
              <c:f>[作图.xlsx]堆体!$E$32</c:f>
              <c:strCache>
                <c:ptCount val="1"/>
                <c:pt idx="0">
                  <c:v>30</c:v>
                </c:pt>
              </c:strCache>
            </c:strRef>
          </c:tx>
          <c:spPr>
            <a:ln w="28575" cap="rnd">
              <a:solidFill>
                <a:srgbClr val="9BBB59"/>
              </a:solidFill>
              <a:round/>
            </a:ln>
            <a:effectLst/>
          </c:spPr>
          <c:marker>
            <c:symbol val="circle"/>
            <c:size val="5"/>
            <c:spPr>
              <a:solidFill>
                <a:srgbClr val="9BBB59"/>
              </a:solidFill>
              <a:ln w="9525">
                <a:solidFill>
                  <a:srgbClr val="9BBB59"/>
                </a:solidFill>
              </a:ln>
              <a:effectLst/>
            </c:spPr>
          </c:marker>
          <c:dLbls>
            <c:delete val="1"/>
          </c:dLbls>
          <c:cat>
            <c:numRef>
              <c:f>[作图.xlsx]堆体!$B$33:$B$38</c:f>
              <c:numCache>
                <c:formatCode>General</c:formatCode>
                <c:ptCount val="6"/>
                <c:pt idx="0">
                  <c:v>5</c:v>
                </c:pt>
                <c:pt idx="1">
                  <c:v>15</c:v>
                </c:pt>
                <c:pt idx="2">
                  <c:v>25</c:v>
                </c:pt>
                <c:pt idx="3">
                  <c:v>35</c:v>
                </c:pt>
                <c:pt idx="4">
                  <c:v>45</c:v>
                </c:pt>
                <c:pt idx="5">
                  <c:v>55</c:v>
                </c:pt>
              </c:numCache>
            </c:numRef>
          </c:cat>
          <c:val>
            <c:numRef>
              <c:f>[作图.xlsx]堆体!$E$33:$E$38</c:f>
              <c:numCache>
                <c:formatCode>General</c:formatCode>
                <c:ptCount val="6"/>
                <c:pt idx="0">
                  <c:v>0</c:v>
                </c:pt>
                <c:pt idx="1">
                  <c:v>2.85</c:v>
                </c:pt>
                <c:pt idx="2">
                  <c:v>12.76</c:v>
                </c:pt>
                <c:pt idx="3">
                  <c:v>25.68</c:v>
                </c:pt>
                <c:pt idx="4">
                  <c:v>40.06</c:v>
                </c:pt>
                <c:pt idx="5">
                  <c:v>50.14</c:v>
                </c:pt>
              </c:numCache>
            </c:numRef>
          </c:val>
          <c:smooth val="0"/>
        </c:ser>
        <c:ser>
          <c:idx val="3"/>
          <c:order val="3"/>
          <c:tx>
            <c:strRef>
              <c:f>[作图.xlsx]堆体!$F$32</c:f>
              <c:strCache>
                <c:ptCount val="1"/>
                <c:pt idx="0">
                  <c:v>35</c:v>
                </c:pt>
              </c:strCache>
            </c:strRef>
          </c:tx>
          <c:spPr>
            <a:ln w="28575" cap="rnd">
              <a:solidFill>
                <a:srgbClr val="8064A2"/>
              </a:solidFill>
              <a:round/>
            </a:ln>
            <a:effectLst/>
          </c:spPr>
          <c:marker>
            <c:symbol val="circle"/>
            <c:size val="5"/>
            <c:spPr>
              <a:solidFill>
                <a:srgbClr val="8064A2"/>
              </a:solidFill>
              <a:ln w="9525">
                <a:solidFill>
                  <a:srgbClr val="8064A2"/>
                </a:solidFill>
              </a:ln>
              <a:effectLst/>
            </c:spPr>
          </c:marker>
          <c:dLbls>
            <c:delete val="1"/>
          </c:dLbls>
          <c:cat>
            <c:numRef>
              <c:f>[作图.xlsx]堆体!$B$33:$B$38</c:f>
              <c:numCache>
                <c:formatCode>General</c:formatCode>
                <c:ptCount val="6"/>
                <c:pt idx="0">
                  <c:v>5</c:v>
                </c:pt>
                <c:pt idx="1">
                  <c:v>15</c:v>
                </c:pt>
                <c:pt idx="2">
                  <c:v>25</c:v>
                </c:pt>
                <c:pt idx="3">
                  <c:v>35</c:v>
                </c:pt>
                <c:pt idx="4">
                  <c:v>45</c:v>
                </c:pt>
                <c:pt idx="5">
                  <c:v>55</c:v>
                </c:pt>
              </c:numCache>
            </c:numRef>
          </c:cat>
          <c:val>
            <c:numRef>
              <c:f>[作图.xlsx]堆体!$F$33:$F$38</c:f>
              <c:numCache>
                <c:formatCode>General</c:formatCode>
                <c:ptCount val="6"/>
                <c:pt idx="0">
                  <c:v>0</c:v>
                </c:pt>
                <c:pt idx="1">
                  <c:v>2.25</c:v>
                </c:pt>
                <c:pt idx="2">
                  <c:v>10.32</c:v>
                </c:pt>
                <c:pt idx="3">
                  <c:v>21.32</c:v>
                </c:pt>
                <c:pt idx="4">
                  <c:v>35.52</c:v>
                </c:pt>
                <c:pt idx="5">
                  <c:v>46.13</c:v>
                </c:pt>
              </c:numCache>
            </c:numRef>
          </c:val>
          <c:smooth val="0"/>
        </c:ser>
        <c:dLbls>
          <c:showLegendKey val="0"/>
          <c:showVal val="0"/>
          <c:showCatName val="0"/>
          <c:showSerName val="0"/>
          <c:showPercent val="0"/>
          <c:showBubbleSize val="0"/>
        </c:dLbls>
        <c:marker val="1"/>
        <c:smooth val="0"/>
        <c:axId val="717127744"/>
        <c:axId val="717128464"/>
      </c:lineChart>
      <c:catAx>
        <c:axId val="717127744"/>
        <c:scaling>
          <c:orientation val="minMax"/>
        </c:scaling>
        <c:delete val="0"/>
        <c:axPos val="b"/>
        <c:title>
          <c:tx>
            <c:rich>
              <a:bodyPr rot="0" spcFirstLastPara="1" vertOverflow="ellipsis" vert="horz" wrap="square" anchor="ctr" anchorCtr="1"/>
              <a:lstStyle/>
              <a:p>
                <a:pPr>
                  <a:defRPr lang="zh-CN" sz="1000" b="0" i="0" u="none" strike="noStrike" kern="1200" baseline="0">
                    <a:solidFill>
                      <a:srgbClr val="595959">
                        <a:lumMod val="65000"/>
                        <a:lumOff val="35000"/>
                      </a:srgbClr>
                    </a:solidFill>
                    <a:latin typeface="+mn-lt"/>
                    <a:ea typeface="+mn-ea"/>
                    <a:cs typeface="+mn-cs"/>
                  </a:defRPr>
                </a:pPr>
                <a:r>
                  <a:rPr lang="zh-CN" altLang="en-US"/>
                  <a:t>时间</a:t>
                </a:r>
                <a:r>
                  <a:rPr lang="en-US" altLang="zh-CN"/>
                  <a:t>/d</a:t>
                </a:r>
                <a:endParaRPr lang="zh-CN" altLang="en-US"/>
              </a:p>
            </c:rich>
          </c:tx>
          <c:layout>
            <c:manualLayout>
              <c:xMode val="edge"/>
              <c:yMode val="edge"/>
              <c:x val="0.878387576552931"/>
              <c:y val="0.877661490230388"/>
            </c:manualLayout>
          </c:layout>
          <c:overlay val="0"/>
          <c:spPr>
            <a:noFill/>
            <a:ln>
              <a:noFill/>
            </a:ln>
            <a:effectLst/>
          </c:spPr>
        </c:title>
        <c:numFmt formatCode="General" sourceLinked="1"/>
        <c:majorTickMark val="none"/>
        <c:minorTickMark val="none"/>
        <c:tickLblPos val="nextTo"/>
        <c:spPr>
          <a:noFill/>
          <a:ln w="9525" cap="flat" cmpd="sng" algn="ctr">
            <a:solidFill>
              <a:srgbClr val="000000"/>
            </a:solidFill>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17128464"/>
        <c:crosses val="autoZero"/>
        <c:auto val="1"/>
        <c:lblAlgn val="ctr"/>
        <c:lblOffset val="100"/>
        <c:noMultiLvlLbl val="0"/>
      </c:catAx>
      <c:valAx>
        <c:axId val="717128464"/>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rgbClr val="595959">
                        <a:lumMod val="65000"/>
                        <a:lumOff val="35000"/>
                      </a:srgbClr>
                    </a:solidFill>
                    <a:latin typeface="+mn-lt"/>
                    <a:ea typeface="+mn-ea"/>
                    <a:cs typeface="+mn-cs"/>
                  </a:defRPr>
                </a:pPr>
                <a:r>
                  <a:rPr lang="zh-CN" altLang="en-US"/>
                  <a:t>秸秆失重率（</a:t>
                </a:r>
                <a:r>
                  <a:rPr lang="en-US" altLang="zh-CN"/>
                  <a:t>%)</a:t>
                </a:r>
                <a:endParaRPr lang="zh-CN" altLang="en-US"/>
              </a:p>
            </c:rich>
          </c:tx>
          <c:layout/>
          <c:overlay val="0"/>
          <c:spPr>
            <a:noFill/>
            <a:ln>
              <a:noFill/>
            </a:ln>
            <a:effectLst/>
          </c:spPr>
        </c:title>
        <c:numFmt formatCode="General" sourceLinked="1"/>
        <c:majorTickMark val="none"/>
        <c:minorTickMark val="none"/>
        <c:tickLblPos val="nextTo"/>
        <c:spPr>
          <a:noFill/>
          <a:ln>
            <a:solidFill>
              <a:srgbClr val="000000"/>
            </a:solidFill>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17127744"/>
        <c:crosses val="autoZero"/>
        <c:crossBetween val="between"/>
      </c:valAx>
      <c:spPr>
        <a:noFill/>
        <a:ln>
          <a:noFill/>
        </a:ln>
        <a:effectLst/>
      </c:spPr>
    </c:plotArea>
    <c:legend>
      <c:legendPos val="b"/>
      <c:layout>
        <c:manualLayout>
          <c:xMode val="edge"/>
          <c:yMode val="edge"/>
          <c:x val="0.205010936132983"/>
          <c:y val="0.0885411198600174"/>
          <c:w val="0.567755905511811"/>
          <c:h val="0.105903324584427"/>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extLst>
      <c:ext uri="{0b15fc19-7d7d-44ad-8c2d-2c3a37ce22c3}">
        <chartProps xmlns="https://web.wps.cn/et/2018/main" chartId="{577a6aec-54d5-40ce-b358-60f935555cdb}"/>
      </c:ext>
    </c:extLst>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4694</Words>
  <Characters>5128</Characters>
  <Lines>0</Lines>
  <Paragraphs>0</Paragraphs>
  <TotalTime>2</TotalTime>
  <ScaleCrop>false</ScaleCrop>
  <LinksUpToDate>false</LinksUpToDate>
  <CharactersWithSpaces>5182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2022-12-12T09:45:00Z</dcterms:created>
  <dc:creator>戴润芳</dc:creator>
  <cp:lastModifiedBy>LJH</cp:lastModifiedBy>
  <cp:lastPrinted>2022-12-12T09:47:00Z</cp:lastPrinted>
  <dcterms:modified xsi:type="dcterms:W3CDTF">2024-11-08T08:57:06Z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B4D4A5CFDDD044A6858AB88A2BEB1260</vt:lpwstr>
  </property>
</Properties>
</file>